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380" w:rsidRDefault="004D4380"/>
    <w:p w:rsidR="004D4380" w:rsidRPr="000B34CE" w:rsidRDefault="004D4380" w:rsidP="000B34CE">
      <w:pPr>
        <w:ind w:firstLine="708"/>
        <w:jc w:val="center"/>
        <w:rPr>
          <w:rFonts w:ascii="Arial" w:hAnsi="Arial" w:cs="Arial"/>
          <w:b/>
          <w:sz w:val="32"/>
        </w:rPr>
      </w:pPr>
    </w:p>
    <w:p w:rsidR="00BA2E71" w:rsidRPr="000B34CE" w:rsidRDefault="004D4380" w:rsidP="000B34CE">
      <w:pPr>
        <w:ind w:firstLine="708"/>
        <w:jc w:val="center"/>
        <w:rPr>
          <w:rFonts w:ascii="Arial" w:hAnsi="Arial" w:cs="Arial"/>
          <w:b/>
          <w:sz w:val="32"/>
        </w:rPr>
      </w:pPr>
      <w:r w:rsidRPr="000B34CE">
        <w:rPr>
          <w:rFonts w:ascii="Arial" w:hAnsi="Arial" w:cs="Arial"/>
          <w:b/>
          <w:sz w:val="32"/>
        </w:rPr>
        <w:t>CBN-1111-2 INFORME DE GESTIÓN DE PROYECTOS AMBIENTALES DEL PACA</w:t>
      </w:r>
    </w:p>
    <w:p w:rsidR="004D4380" w:rsidRDefault="004D4380" w:rsidP="004D4380">
      <w:pPr>
        <w:ind w:firstLine="708"/>
        <w:rPr>
          <w:b/>
        </w:rPr>
      </w:pPr>
    </w:p>
    <w:p w:rsidR="004D4380" w:rsidRPr="000B34CE" w:rsidRDefault="004D4380" w:rsidP="004D4380">
      <w:pPr>
        <w:rPr>
          <w:rFonts w:ascii="Arial" w:hAnsi="Arial" w:cs="Arial"/>
          <w:sz w:val="28"/>
          <w:szCs w:val="24"/>
        </w:rPr>
      </w:pPr>
      <w:r w:rsidRPr="000B34CE">
        <w:rPr>
          <w:rFonts w:ascii="Arial" w:hAnsi="Arial" w:cs="Arial"/>
          <w:sz w:val="28"/>
          <w:szCs w:val="24"/>
        </w:rPr>
        <w:t xml:space="preserve">A continuación se relacionan las metas Correspondientes a Plan De Acción Cuatrienal-PACA, que corresponde la ejecución realizada durante la vigencia 2014. </w:t>
      </w:r>
    </w:p>
    <w:p w:rsidR="004D4380" w:rsidRDefault="00B7427E" w:rsidP="000B34CE">
      <w:pPr>
        <w:pStyle w:val="Prrafodelista"/>
        <w:numPr>
          <w:ilvl w:val="0"/>
          <w:numId w:val="1"/>
        </w:numPr>
        <w:rPr>
          <w:rFonts w:ascii="Arial" w:hAnsi="Arial" w:cs="Arial"/>
          <w:b/>
          <w:sz w:val="24"/>
        </w:rPr>
      </w:pPr>
      <w:r w:rsidRPr="000B34CE">
        <w:rPr>
          <w:rFonts w:ascii="Arial" w:hAnsi="Arial" w:cs="Arial"/>
          <w:b/>
          <w:sz w:val="24"/>
        </w:rPr>
        <w:t>PROYECTO</w:t>
      </w:r>
      <w:r w:rsidR="004D4380" w:rsidRPr="000B34CE">
        <w:rPr>
          <w:rFonts w:ascii="Arial" w:hAnsi="Arial" w:cs="Arial"/>
          <w:b/>
          <w:sz w:val="24"/>
        </w:rPr>
        <w:t xml:space="preserve"> </w:t>
      </w:r>
      <w:r w:rsidR="007562F0" w:rsidRPr="000B34CE">
        <w:rPr>
          <w:rFonts w:ascii="Arial" w:hAnsi="Arial" w:cs="Arial"/>
          <w:b/>
          <w:sz w:val="24"/>
        </w:rPr>
        <w:t>826</w:t>
      </w:r>
      <w:r w:rsidRPr="000B34CE">
        <w:rPr>
          <w:rFonts w:ascii="Arial" w:hAnsi="Arial" w:cs="Arial"/>
          <w:b/>
          <w:sz w:val="24"/>
        </w:rPr>
        <w:t xml:space="preserve">: </w:t>
      </w:r>
      <w:r w:rsidRPr="000B7969">
        <w:rPr>
          <w:rFonts w:ascii="Arial" w:hAnsi="Arial" w:cs="Arial"/>
          <w:sz w:val="24"/>
        </w:rPr>
        <w:t>CONTROL Y GESTIÓN AMBIENTAL A RESIDUOS PELIGROSOS, ORGÁNICOS Y ESCOMBROS EN BOGOTÁ</w:t>
      </w:r>
      <w:r w:rsidRPr="000B34CE">
        <w:rPr>
          <w:rFonts w:ascii="Arial" w:hAnsi="Arial" w:cs="Arial"/>
          <w:b/>
          <w:sz w:val="24"/>
        </w:rPr>
        <w:t>.</w:t>
      </w:r>
    </w:p>
    <w:p w:rsidR="000B34CE" w:rsidRDefault="000B34CE" w:rsidP="000B34CE">
      <w:pPr>
        <w:pStyle w:val="Prrafodelista"/>
        <w:numPr>
          <w:ilvl w:val="0"/>
          <w:numId w:val="1"/>
        </w:numPr>
        <w:rPr>
          <w:rFonts w:ascii="Arial" w:hAnsi="Arial" w:cs="Arial"/>
          <w:b/>
          <w:sz w:val="24"/>
        </w:rPr>
      </w:pPr>
      <w:r w:rsidRPr="000B34CE">
        <w:rPr>
          <w:rFonts w:ascii="Arial" w:hAnsi="Arial" w:cs="Arial"/>
          <w:b/>
          <w:sz w:val="24"/>
        </w:rPr>
        <w:t xml:space="preserve">PROYECTO </w:t>
      </w:r>
      <w:r>
        <w:rPr>
          <w:rFonts w:ascii="Arial" w:hAnsi="Arial" w:cs="Arial"/>
          <w:b/>
          <w:sz w:val="24"/>
        </w:rPr>
        <w:t xml:space="preserve">819: </w:t>
      </w:r>
      <w:r w:rsidRPr="000B7969">
        <w:rPr>
          <w:rFonts w:ascii="Arial" w:hAnsi="Arial" w:cs="Arial"/>
          <w:sz w:val="24"/>
        </w:rPr>
        <w:t>EVALUACIÓN, CONTROL, SEGUIMIENTO Y CONSERVACIÓN DE LA FLORA, FAUNA SILVESTRE Y ARBOLADO URBANO.</w:t>
      </w:r>
    </w:p>
    <w:p w:rsidR="00933035" w:rsidRPr="000B7969" w:rsidRDefault="00933035" w:rsidP="00285F5F">
      <w:pPr>
        <w:pStyle w:val="Prrafodelista"/>
        <w:numPr>
          <w:ilvl w:val="0"/>
          <w:numId w:val="1"/>
        </w:numPr>
        <w:rPr>
          <w:rFonts w:ascii="Arial" w:hAnsi="Arial" w:cs="Arial"/>
          <w:sz w:val="24"/>
        </w:rPr>
      </w:pPr>
      <w:r w:rsidRPr="000B34CE">
        <w:rPr>
          <w:rFonts w:ascii="Arial" w:hAnsi="Arial" w:cs="Arial"/>
          <w:b/>
          <w:sz w:val="24"/>
        </w:rPr>
        <w:t xml:space="preserve">PROYECTO </w:t>
      </w:r>
      <w:r>
        <w:rPr>
          <w:rFonts w:ascii="Arial" w:hAnsi="Arial" w:cs="Arial"/>
          <w:b/>
          <w:sz w:val="24"/>
        </w:rPr>
        <w:t>811</w:t>
      </w:r>
      <w:r w:rsidR="00285F5F">
        <w:rPr>
          <w:rFonts w:ascii="Arial" w:hAnsi="Arial" w:cs="Arial"/>
          <w:b/>
          <w:sz w:val="24"/>
        </w:rPr>
        <w:t xml:space="preserve">: </w:t>
      </w:r>
      <w:r w:rsidR="00285F5F" w:rsidRPr="000B7969">
        <w:rPr>
          <w:rFonts w:ascii="Arial" w:hAnsi="Arial" w:cs="Arial"/>
          <w:sz w:val="24"/>
        </w:rPr>
        <w:t>PLANEACIÓN AMBIENTAL CON VISIÓN REGIONAL PARA ADAPTACIÓN Y MITIGACIÓN AL CAMBIO CLIMÁTICO EN EL DISTRITO CAPITAL.</w:t>
      </w:r>
    </w:p>
    <w:p w:rsidR="00C2005D" w:rsidRDefault="00C2005D" w:rsidP="00C2005D">
      <w:pPr>
        <w:pStyle w:val="Prrafodelista"/>
        <w:numPr>
          <w:ilvl w:val="0"/>
          <w:numId w:val="1"/>
        </w:numPr>
        <w:rPr>
          <w:rFonts w:ascii="Arial" w:hAnsi="Arial" w:cs="Arial"/>
          <w:b/>
          <w:sz w:val="24"/>
        </w:rPr>
      </w:pPr>
      <w:r w:rsidRPr="000B34CE">
        <w:rPr>
          <w:rFonts w:ascii="Arial" w:hAnsi="Arial" w:cs="Arial"/>
          <w:b/>
          <w:sz w:val="24"/>
        </w:rPr>
        <w:t xml:space="preserve">PROYECTO </w:t>
      </w:r>
      <w:r>
        <w:rPr>
          <w:rFonts w:ascii="Arial" w:hAnsi="Arial" w:cs="Arial"/>
          <w:b/>
          <w:sz w:val="24"/>
        </w:rPr>
        <w:t xml:space="preserve">820: </w:t>
      </w:r>
      <w:r w:rsidRPr="000B7969">
        <w:rPr>
          <w:rFonts w:ascii="Arial" w:hAnsi="Arial" w:cs="Arial"/>
          <w:sz w:val="24"/>
        </w:rPr>
        <w:t>CONTROL AMBIENTAL A LOS RECURSOS HÍDRICO Y DEL SUELO EN EL DISTRITO CAPITAL.</w:t>
      </w:r>
    </w:p>
    <w:p w:rsidR="005E1687" w:rsidRPr="005E1687" w:rsidRDefault="00001760" w:rsidP="005E1687">
      <w:pPr>
        <w:pStyle w:val="Prrafodelista"/>
        <w:numPr>
          <w:ilvl w:val="0"/>
          <w:numId w:val="1"/>
        </w:numPr>
        <w:rPr>
          <w:rFonts w:ascii="Arial" w:hAnsi="Arial" w:cs="Arial"/>
          <w:b/>
          <w:sz w:val="24"/>
        </w:rPr>
      </w:pPr>
      <w:r w:rsidRPr="000B34CE">
        <w:rPr>
          <w:rFonts w:ascii="Arial" w:hAnsi="Arial" w:cs="Arial"/>
          <w:b/>
          <w:sz w:val="24"/>
        </w:rPr>
        <w:t xml:space="preserve">PROYECTO </w:t>
      </w:r>
      <w:r>
        <w:rPr>
          <w:rFonts w:ascii="Arial" w:hAnsi="Arial" w:cs="Arial"/>
          <w:b/>
          <w:sz w:val="24"/>
        </w:rPr>
        <w:t xml:space="preserve">574: </w:t>
      </w:r>
      <w:r w:rsidRPr="000B7969">
        <w:rPr>
          <w:rFonts w:ascii="Arial" w:hAnsi="Arial" w:cs="Arial"/>
          <w:bCs/>
          <w:sz w:val="24"/>
          <w:szCs w:val="16"/>
        </w:rPr>
        <w:t>CONTROL AL DETERIORO AMBIENTAL EN LOS COMPONENTES AIRE Y PAISAJE</w:t>
      </w:r>
      <w:r w:rsidRPr="00001760">
        <w:rPr>
          <w:rFonts w:ascii="Arial" w:hAnsi="Arial" w:cs="Arial"/>
          <w:b/>
          <w:bCs/>
          <w:sz w:val="24"/>
          <w:szCs w:val="16"/>
        </w:rPr>
        <w:t>.</w:t>
      </w:r>
    </w:p>
    <w:p w:rsidR="005E1687" w:rsidRPr="00417DC0" w:rsidRDefault="005E1687" w:rsidP="00417DC0">
      <w:pPr>
        <w:pStyle w:val="Prrafodelista"/>
        <w:numPr>
          <w:ilvl w:val="0"/>
          <w:numId w:val="1"/>
        </w:numPr>
        <w:rPr>
          <w:rFonts w:ascii="Arial" w:hAnsi="Arial" w:cs="Arial"/>
          <w:sz w:val="24"/>
        </w:rPr>
      </w:pPr>
      <w:r w:rsidRPr="005E1687">
        <w:rPr>
          <w:rFonts w:ascii="Arial" w:hAnsi="Arial" w:cs="Arial"/>
          <w:b/>
          <w:sz w:val="24"/>
        </w:rPr>
        <w:t>PROYECTOS</w:t>
      </w:r>
      <w:r>
        <w:rPr>
          <w:rFonts w:ascii="Arial" w:hAnsi="Arial" w:cs="Arial"/>
          <w:b/>
          <w:sz w:val="24"/>
        </w:rPr>
        <w:t>:</w:t>
      </w:r>
      <w:r w:rsidRPr="00C72DD8">
        <w:rPr>
          <w:rFonts w:ascii="Arial" w:hAnsi="Arial" w:cs="Arial"/>
          <w:b/>
          <w:sz w:val="24"/>
          <w:szCs w:val="24"/>
        </w:rPr>
        <w:t xml:space="preserve"> 131  </w:t>
      </w:r>
      <w:r w:rsidRPr="00C72DD8">
        <w:rPr>
          <w:rFonts w:ascii="Arial" w:hAnsi="Arial" w:cs="Arial"/>
          <w:bCs/>
          <w:sz w:val="24"/>
          <w:szCs w:val="24"/>
        </w:rPr>
        <w:t>PARTICIPACIÓN CIUDADANA Y EDUCACIÓN AMBIENTAL COMO INSTRUMENTOS DE GESTIÓN PARA LA APROPIACIÓN SOCIAL DE LOS TERRITORIOS AMBIENTALES DEL DISTRITO CAPITAL</w:t>
      </w:r>
      <w:r w:rsidRPr="00C72DD8">
        <w:rPr>
          <w:rFonts w:ascii="Arial" w:hAnsi="Arial" w:cs="Arial"/>
          <w:b/>
          <w:bCs/>
          <w:sz w:val="24"/>
          <w:szCs w:val="24"/>
        </w:rPr>
        <w:t xml:space="preserve">; </w:t>
      </w:r>
      <w:r w:rsidRPr="00C72DD8">
        <w:rPr>
          <w:rFonts w:ascii="Arial" w:hAnsi="Arial" w:cs="Arial"/>
          <w:b/>
          <w:sz w:val="24"/>
          <w:szCs w:val="24"/>
        </w:rPr>
        <w:t xml:space="preserve"> 817</w:t>
      </w:r>
      <w:r w:rsidRPr="00C72DD8">
        <w:rPr>
          <w:rFonts w:ascii="Arial" w:hAnsi="Arial" w:cs="Arial"/>
          <w:sz w:val="24"/>
          <w:szCs w:val="24"/>
        </w:rPr>
        <w:t xml:space="preserve"> </w:t>
      </w:r>
      <w:r w:rsidRPr="00C72DD8">
        <w:rPr>
          <w:rFonts w:ascii="Arial" w:hAnsi="Arial" w:cs="Arial"/>
          <w:bCs/>
          <w:sz w:val="24"/>
          <w:szCs w:val="24"/>
        </w:rPr>
        <w:t>PLANEACIÓN AMBIENTAL PARTICIPATIVA, COMUNICACIÓN ESTRATÉGICA Y FORTALECIMIENTO DE PROCESOS DE FORMACIÓN PARA LA PARTICIPACIÓN, CON ÉNFASIS EN ADAPTACIÓN AL CAMBIO CLIMÁTICO.</w:t>
      </w:r>
    </w:p>
    <w:p w:rsidR="00417DC0" w:rsidRPr="00417DC0" w:rsidRDefault="00417DC0" w:rsidP="00417DC0">
      <w:pPr>
        <w:pStyle w:val="Prrafodelista"/>
        <w:numPr>
          <w:ilvl w:val="0"/>
          <w:numId w:val="1"/>
        </w:numPr>
        <w:rPr>
          <w:rFonts w:ascii="Arial" w:hAnsi="Arial" w:cs="Arial"/>
          <w:sz w:val="24"/>
        </w:rPr>
      </w:pPr>
      <w:r w:rsidRPr="005E1687">
        <w:rPr>
          <w:rFonts w:ascii="Arial" w:hAnsi="Arial" w:cs="Arial"/>
          <w:b/>
          <w:sz w:val="24"/>
        </w:rPr>
        <w:t>PROYECTOS</w:t>
      </w:r>
      <w:r>
        <w:rPr>
          <w:rFonts w:ascii="Arial" w:hAnsi="Arial" w:cs="Arial"/>
          <w:b/>
          <w:sz w:val="24"/>
        </w:rPr>
        <w:t>:</w:t>
      </w:r>
      <w:r w:rsidRPr="00C72DD8">
        <w:rPr>
          <w:rFonts w:ascii="Arial" w:hAnsi="Arial" w:cs="Arial"/>
          <w:b/>
          <w:sz w:val="24"/>
          <w:szCs w:val="24"/>
        </w:rPr>
        <w:t xml:space="preserve"> </w:t>
      </w:r>
      <w:r>
        <w:rPr>
          <w:rFonts w:ascii="Arial" w:hAnsi="Arial" w:cs="Arial"/>
          <w:b/>
          <w:sz w:val="24"/>
          <w:szCs w:val="24"/>
        </w:rPr>
        <w:t xml:space="preserve">844 </w:t>
      </w:r>
      <w:r w:rsidRPr="00417DC0">
        <w:rPr>
          <w:rFonts w:ascii="Arial" w:hAnsi="Arial" w:cs="Arial"/>
          <w:sz w:val="24"/>
          <w:szCs w:val="24"/>
        </w:rPr>
        <w:t xml:space="preserve">FORTALECIMIENTO DE LA FUNCIÓN ADMINISTRATIVA Y DESARROLLO INSTITUCIONAL. </w:t>
      </w:r>
      <w:r w:rsidRPr="00417DC0">
        <w:rPr>
          <w:rFonts w:ascii="Arial" w:hAnsi="Arial" w:cs="Arial"/>
          <w:b/>
          <w:sz w:val="24"/>
          <w:szCs w:val="24"/>
        </w:rPr>
        <w:t>Y 956</w:t>
      </w:r>
      <w:r w:rsidRPr="00417DC0">
        <w:rPr>
          <w:rFonts w:ascii="Arial" w:hAnsi="Arial" w:cs="Arial"/>
          <w:sz w:val="24"/>
          <w:szCs w:val="24"/>
        </w:rPr>
        <w:t xml:space="preserve"> CULTURA DE TRANSPARENCIA, PROBIDAD Y CONTROL SOCIAL A LA GESTIÓN PÚBLICA EN LA SECRETARÍA DISTRITAL DE AMBIENTE.</w:t>
      </w:r>
    </w:p>
    <w:p w:rsidR="00CF5C9C" w:rsidRPr="000B7969" w:rsidRDefault="00CF5C9C" w:rsidP="00CF5C9C">
      <w:pPr>
        <w:pStyle w:val="Prrafodelista"/>
        <w:numPr>
          <w:ilvl w:val="0"/>
          <w:numId w:val="1"/>
        </w:numPr>
        <w:rPr>
          <w:rFonts w:ascii="Arial" w:hAnsi="Arial" w:cs="Arial"/>
          <w:sz w:val="24"/>
        </w:rPr>
      </w:pPr>
      <w:r w:rsidRPr="005E1687">
        <w:rPr>
          <w:rFonts w:ascii="Arial" w:hAnsi="Arial" w:cs="Arial"/>
          <w:b/>
          <w:sz w:val="24"/>
        </w:rPr>
        <w:t>PROYECTOS</w:t>
      </w:r>
      <w:r>
        <w:rPr>
          <w:rFonts w:ascii="Arial" w:hAnsi="Arial" w:cs="Arial"/>
          <w:b/>
          <w:sz w:val="24"/>
        </w:rPr>
        <w:t>: 821</w:t>
      </w:r>
      <w:r w:rsidRPr="005E1687">
        <w:rPr>
          <w:rFonts w:ascii="Arial" w:hAnsi="Arial" w:cs="Arial"/>
          <w:b/>
          <w:sz w:val="24"/>
        </w:rPr>
        <w:t xml:space="preserve"> </w:t>
      </w:r>
      <w:r w:rsidR="00C72DD8" w:rsidRPr="00CF5C9C">
        <w:rPr>
          <w:rFonts w:ascii="Arial" w:hAnsi="Arial" w:cs="Arial"/>
          <w:sz w:val="24"/>
        </w:rPr>
        <w:t>FORTALECIMIENTO DE LA GESTIÓN AMBIENTAL PARA LA RESTAURACIÓN, CONSERVACIÓN, MANEJO Y USO SOSTENIBLE DE LOS ECOSISTEMAS URBANOS Y DE LAS ÁREAS RURALES DEL DISTRITO CAPITAL.</w:t>
      </w:r>
    </w:p>
    <w:p w:rsidR="00933035" w:rsidRDefault="001E61AF" w:rsidP="007562F0">
      <w:pPr>
        <w:rPr>
          <w:rFonts w:ascii="Arial" w:hAnsi="Arial" w:cs="Arial"/>
          <w:b/>
        </w:rPr>
      </w:pPr>
      <w:r>
        <w:rPr>
          <w:rFonts w:ascii="Arial" w:hAnsi="Arial" w:cs="Arial"/>
          <w:b/>
        </w:rPr>
        <w:br w:type="textWrapping" w:clear="all"/>
      </w: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933035" w:rsidRDefault="00933035" w:rsidP="007562F0">
      <w:pPr>
        <w:rPr>
          <w:rFonts w:ascii="Arial" w:hAnsi="Arial" w:cs="Arial"/>
          <w:b/>
        </w:rPr>
      </w:pPr>
    </w:p>
    <w:p w:rsidR="00DD3C17" w:rsidRDefault="00DD3C17" w:rsidP="007562F0">
      <w:r>
        <w:rPr>
          <w:rFonts w:ascii="Arial" w:hAnsi="Arial" w:cs="Arial"/>
          <w:b/>
        </w:rPr>
        <w:fldChar w:fldCharType="begin"/>
      </w:r>
      <w:r>
        <w:rPr>
          <w:rFonts w:ascii="Arial" w:hAnsi="Arial" w:cs="Arial"/>
          <w:b/>
        </w:rPr>
        <w:instrText xml:space="preserve"> LINK </w:instrText>
      </w:r>
      <w:r w:rsidR="00933035">
        <w:rPr>
          <w:rFonts w:ascii="Arial" w:hAnsi="Arial" w:cs="Arial"/>
          <w:b/>
        </w:rPr>
        <w:instrText xml:space="preserve">Excel.Sheet.8 "C:\\Users\\jorge.lezama\\Desktop\\PACA RECIBIDO\\2. SCASP\\2. SCASP FORMATO CB1111-2 PACA 17022016 OK.xls" CB-1111-2__INFORMACION_GESTION_!F1C2:F35C12 </w:instrText>
      </w:r>
      <w:r>
        <w:rPr>
          <w:rFonts w:ascii="Arial" w:hAnsi="Arial" w:cs="Arial"/>
          <w:b/>
        </w:rPr>
        <w:instrText xml:space="preserve">\a \f 4 \h  \* MERGEFORMAT </w:instrText>
      </w:r>
      <w:r>
        <w:rPr>
          <w:rFonts w:ascii="Arial" w:hAnsi="Arial" w:cs="Arial"/>
          <w:b/>
        </w:rPr>
        <w:fldChar w:fldCharType="separate"/>
      </w:r>
    </w:p>
    <w:tbl>
      <w:tblPr>
        <w:tblW w:w="17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9"/>
        <w:gridCol w:w="1627"/>
        <w:gridCol w:w="1652"/>
        <w:gridCol w:w="4456"/>
        <w:gridCol w:w="995"/>
        <w:gridCol w:w="1260"/>
        <w:gridCol w:w="971"/>
        <w:gridCol w:w="971"/>
        <w:gridCol w:w="971"/>
        <w:gridCol w:w="1063"/>
        <w:gridCol w:w="2745"/>
      </w:tblGrid>
      <w:tr w:rsidR="00B7427E" w:rsidRPr="00DD3C17" w:rsidTr="00B7427E">
        <w:trPr>
          <w:trHeight w:val="278"/>
          <w:tblHeader/>
        </w:trPr>
        <w:tc>
          <w:tcPr>
            <w:tcW w:w="17760" w:type="dxa"/>
            <w:gridSpan w:val="11"/>
            <w:shd w:val="clear" w:color="auto" w:fill="FBE4D5" w:themeFill="accent2" w:themeFillTint="33"/>
            <w:vAlign w:val="center"/>
          </w:tcPr>
          <w:p w:rsidR="00B7427E" w:rsidRPr="00DD3C17" w:rsidRDefault="000819FE" w:rsidP="000819FE">
            <w:pPr>
              <w:jc w:val="center"/>
              <w:rPr>
                <w:rFonts w:ascii="Arial" w:hAnsi="Arial" w:cs="Arial"/>
                <w:b/>
                <w:sz w:val="24"/>
              </w:rPr>
            </w:pPr>
            <w:r>
              <w:rPr>
                <w:rFonts w:ascii="Arial" w:hAnsi="Arial" w:cs="Arial"/>
                <w:b/>
                <w:sz w:val="24"/>
              </w:rPr>
              <w:lastRenderedPageBreak/>
              <w:t>826.</w:t>
            </w:r>
            <w:bookmarkStart w:id="0" w:name="_GoBack"/>
            <w:bookmarkEnd w:id="0"/>
            <w:r w:rsidR="00B7427E" w:rsidRPr="00B7427E">
              <w:rPr>
                <w:rFonts w:ascii="Arial" w:hAnsi="Arial" w:cs="Arial"/>
                <w:b/>
                <w:sz w:val="24"/>
              </w:rPr>
              <w:t xml:space="preserve"> CONTROL Y GESTIÓN AMBIENTAL A RESIDUOS PELIGROSOS, </w:t>
            </w:r>
            <w:r w:rsidR="00B7427E">
              <w:rPr>
                <w:rFonts w:ascii="Arial" w:hAnsi="Arial" w:cs="Arial"/>
                <w:b/>
                <w:sz w:val="24"/>
              </w:rPr>
              <w:t>ORGÁNICOS Y ESCOMBROS EN BOGOTÁ.</w:t>
            </w:r>
          </w:p>
        </w:tc>
      </w:tr>
      <w:tr w:rsidR="00B7427E" w:rsidRPr="00DD3C17" w:rsidTr="00DD3C17">
        <w:trPr>
          <w:trHeight w:val="1230"/>
          <w:tblHeader/>
        </w:trPr>
        <w:tc>
          <w:tcPr>
            <w:tcW w:w="1049" w:type="dxa"/>
            <w:shd w:val="clear" w:color="auto" w:fill="BDD6EE" w:themeFill="accent1" w:themeFillTint="66"/>
            <w:vAlign w:val="center"/>
          </w:tcPr>
          <w:p w:rsidR="00B7427E" w:rsidRPr="00DD3C17" w:rsidRDefault="00B7427E" w:rsidP="00B7427E">
            <w:pPr>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 xml:space="preserve">PROYECTO DE INVERSIÓN </w:t>
            </w:r>
          </w:p>
        </w:tc>
        <w:tc>
          <w:tcPr>
            <w:tcW w:w="1627" w:type="dxa"/>
            <w:shd w:val="clear" w:color="auto" w:fill="BDD6EE" w:themeFill="accent1" w:themeFillTint="66"/>
            <w:vAlign w:val="center"/>
          </w:tcPr>
          <w:p w:rsidR="00B7427E" w:rsidRPr="00DD3C17" w:rsidRDefault="00B7427E" w:rsidP="00B7427E">
            <w:pPr>
              <w:spacing w:after="0" w:line="240" w:lineRule="auto"/>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META PACA</w:t>
            </w:r>
          </w:p>
        </w:tc>
        <w:tc>
          <w:tcPr>
            <w:tcW w:w="1652" w:type="dxa"/>
            <w:shd w:val="clear" w:color="auto" w:fill="BDD6EE" w:themeFill="accent1" w:themeFillTint="66"/>
            <w:vAlign w:val="center"/>
          </w:tcPr>
          <w:p w:rsidR="00B7427E" w:rsidRPr="00DD3C17" w:rsidRDefault="00B7427E" w:rsidP="00B7427E">
            <w:pPr>
              <w:spacing w:after="0" w:line="240" w:lineRule="auto"/>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ACTIVIDADES PROGRAMADAS</w:t>
            </w:r>
          </w:p>
        </w:tc>
        <w:tc>
          <w:tcPr>
            <w:tcW w:w="4456" w:type="dxa"/>
            <w:shd w:val="clear" w:color="auto" w:fill="BDD6EE" w:themeFill="accent1" w:themeFillTint="66"/>
            <w:vAlign w:val="center"/>
          </w:tcPr>
          <w:p w:rsidR="00B7427E" w:rsidRPr="00DD3C17" w:rsidRDefault="00B7427E" w:rsidP="00B7427E">
            <w:pPr>
              <w:spacing w:after="0" w:line="240" w:lineRule="auto"/>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ACTIVIDADES EJECUTADAS</w:t>
            </w:r>
          </w:p>
        </w:tc>
        <w:tc>
          <w:tcPr>
            <w:tcW w:w="995" w:type="dxa"/>
            <w:shd w:val="clear" w:color="auto" w:fill="BDD6EE" w:themeFill="accent1" w:themeFillTint="66"/>
            <w:vAlign w:val="center"/>
          </w:tcPr>
          <w:p w:rsidR="00B7427E" w:rsidRPr="00DD3C17" w:rsidRDefault="00B7427E" w:rsidP="00B7427E">
            <w:pPr>
              <w:spacing w:after="0" w:line="240" w:lineRule="auto"/>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OBJETIVO PGA</w:t>
            </w:r>
          </w:p>
        </w:tc>
        <w:tc>
          <w:tcPr>
            <w:tcW w:w="1260" w:type="dxa"/>
            <w:shd w:val="clear" w:color="auto" w:fill="BDD6EE" w:themeFill="accent1" w:themeFillTint="66"/>
            <w:vAlign w:val="center"/>
          </w:tcPr>
          <w:p w:rsidR="00B7427E" w:rsidRPr="00DD3C17" w:rsidRDefault="00B7427E" w:rsidP="00B7427E">
            <w:pPr>
              <w:spacing w:after="0" w:line="240" w:lineRule="auto"/>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ESTRATEGIA PGA</w:t>
            </w:r>
          </w:p>
        </w:tc>
        <w:tc>
          <w:tcPr>
            <w:tcW w:w="3976" w:type="dxa"/>
            <w:gridSpan w:val="4"/>
            <w:shd w:val="clear" w:color="auto" w:fill="BDD6EE" w:themeFill="accent1" w:themeFillTint="66"/>
            <w:vAlign w:val="center"/>
          </w:tcPr>
          <w:p w:rsidR="00B7427E" w:rsidRPr="00DD3C17" w:rsidRDefault="00B7427E" w:rsidP="00B7427E">
            <w:pPr>
              <w:spacing w:after="0" w:line="240" w:lineRule="auto"/>
              <w:jc w:val="center"/>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CONTRATOS MEDIANTE LOS CUALES SE EJECUTÒ LA ACTIVIDAD</w:t>
            </w:r>
          </w:p>
        </w:tc>
        <w:tc>
          <w:tcPr>
            <w:tcW w:w="2745" w:type="dxa"/>
            <w:shd w:val="clear" w:color="auto" w:fill="BDD6EE" w:themeFill="accent1" w:themeFillTint="66"/>
            <w:vAlign w:val="center"/>
          </w:tcPr>
          <w:p w:rsidR="00B7427E" w:rsidRPr="00DD3C17" w:rsidRDefault="00B7427E" w:rsidP="00C268F3">
            <w:pPr>
              <w:spacing w:after="0" w:line="240" w:lineRule="auto"/>
              <w:jc w:val="both"/>
              <w:rPr>
                <w:rFonts w:ascii="Arial" w:eastAsia="Times New Roman" w:hAnsi="Arial" w:cs="Arial"/>
                <w:b/>
                <w:bCs/>
                <w:color w:val="000000"/>
                <w:sz w:val="16"/>
                <w:szCs w:val="16"/>
                <w:lang w:eastAsia="es-CO"/>
              </w:rPr>
            </w:pPr>
            <w:r w:rsidRPr="00DD3C17">
              <w:rPr>
                <w:rFonts w:ascii="Arial" w:eastAsia="Times New Roman" w:hAnsi="Arial" w:cs="Arial"/>
                <w:b/>
                <w:bCs/>
                <w:color w:val="000000"/>
                <w:sz w:val="16"/>
                <w:szCs w:val="16"/>
                <w:lang w:eastAsia="es-CO"/>
              </w:rPr>
              <w:t>COHERENCIA Y CONCORDANCIA QUE GUARDA CADA ACTIVIDAD CON LOS OBJETIVOS Y ESTRATEGIAS DEL PLAN DE GESTIÓN AMBIENTAL DEL DISTRITO CAPITAL, QUE SIRVIERON DE JUSTIFICACIÓN PARA SU INCORPORACIÓN DENTRO DE PLAN DE ACCIÓN CUATRIENAL AMBIENTAL-PACA</w:t>
            </w:r>
          </w:p>
        </w:tc>
      </w:tr>
      <w:tr w:rsidR="00B7427E" w:rsidRPr="00DD3C17" w:rsidTr="00DD3C17">
        <w:trPr>
          <w:trHeight w:val="3735"/>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Realizar el seguimiento a los informes presentados por el gestor externo ECOCAPITAL S.A ESP. </w:t>
            </w:r>
            <w:r w:rsidR="00BA190B" w:rsidRPr="00DD3C17">
              <w:rPr>
                <w:rFonts w:ascii="Arial" w:eastAsia="Times New Roman" w:hAnsi="Arial" w:cs="Arial"/>
                <w:sz w:val="16"/>
                <w:szCs w:val="16"/>
                <w:lang w:eastAsia="es-CO"/>
              </w:rPr>
              <w:t>En</w:t>
            </w:r>
            <w:r w:rsidRPr="00DD3C17">
              <w:rPr>
                <w:rFonts w:ascii="Arial" w:eastAsia="Times New Roman" w:hAnsi="Arial" w:cs="Arial"/>
                <w:sz w:val="16"/>
                <w:szCs w:val="16"/>
                <w:lang w:eastAsia="es-CO"/>
              </w:rPr>
              <w:t xml:space="preserve"> el marco del cumplimiento a la resolución 1164 del 2002 a través de la entidad responsable del contrato de concesión.</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Al 30/11/2015 se han controlado 11.066.112 toneladas de Residuos Hospitalarios (de tipo infeccioso) generados en el distrito capital, de una meta de 7092 toneladas para la vigencia 2015. Como soporte de lo anterior los reportes del gestor externo se encuentran en el sistema de correspondencia FOREST con Radicados 2015ER39753 del 10/03/2015 y 2015ER100221 del 09/06/2015 y 2015ER252873 de 16/12/2015.</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Para el mes de diciembre aún no se cuenta con información ya que el reporte de ECOCAPITAL S.A. E.S.P. no ha sido remitido a la SDA </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366/2015</w:t>
            </w:r>
            <w:r w:rsidRPr="00DD3C17">
              <w:rPr>
                <w:rFonts w:ascii="Arial" w:eastAsia="Times New Roman" w:hAnsi="Arial" w:cs="Arial"/>
                <w:sz w:val="16"/>
                <w:szCs w:val="16"/>
                <w:lang w:eastAsia="es-CO"/>
              </w:rPr>
              <w:br/>
              <w:t>421/2015</w:t>
            </w:r>
            <w:r w:rsidRPr="00DD3C17">
              <w:rPr>
                <w:rFonts w:ascii="Arial" w:eastAsia="Times New Roman" w:hAnsi="Arial" w:cs="Arial"/>
                <w:sz w:val="16"/>
                <w:szCs w:val="16"/>
                <w:lang w:eastAsia="es-CO"/>
              </w:rPr>
              <w:br/>
              <w:t>513/2015</w:t>
            </w:r>
            <w:r w:rsidRPr="00DD3C17">
              <w:rPr>
                <w:rFonts w:ascii="Arial" w:eastAsia="Times New Roman" w:hAnsi="Arial" w:cs="Arial"/>
                <w:sz w:val="16"/>
                <w:szCs w:val="16"/>
                <w:lang w:eastAsia="es-CO"/>
              </w:rPr>
              <w:br/>
              <w:t>546/2015</w:t>
            </w:r>
            <w:r w:rsidRPr="00DD3C17">
              <w:rPr>
                <w:rFonts w:ascii="Arial" w:eastAsia="Times New Roman" w:hAnsi="Arial" w:cs="Arial"/>
                <w:sz w:val="16"/>
                <w:szCs w:val="16"/>
                <w:lang w:eastAsia="es-CO"/>
              </w:rPr>
              <w:br/>
              <w:t>628/2015</w:t>
            </w:r>
            <w:r w:rsidRPr="00DD3C17">
              <w:rPr>
                <w:rFonts w:ascii="Arial" w:eastAsia="Times New Roman" w:hAnsi="Arial" w:cs="Arial"/>
                <w:sz w:val="16"/>
                <w:szCs w:val="16"/>
                <w:lang w:eastAsia="es-CO"/>
              </w:rPr>
              <w:br/>
              <w:t>632/2015</w:t>
            </w:r>
            <w:r w:rsidRPr="00DD3C17">
              <w:rPr>
                <w:rFonts w:ascii="Arial" w:eastAsia="Times New Roman" w:hAnsi="Arial" w:cs="Arial"/>
                <w:sz w:val="16"/>
                <w:szCs w:val="16"/>
                <w:lang w:eastAsia="es-CO"/>
              </w:rPr>
              <w:br/>
              <w:t>639/2015</w:t>
            </w:r>
            <w:r w:rsidRPr="00DD3C17">
              <w:rPr>
                <w:rFonts w:ascii="Arial" w:eastAsia="Times New Roman" w:hAnsi="Arial" w:cs="Arial"/>
                <w:sz w:val="16"/>
                <w:szCs w:val="16"/>
                <w:lang w:eastAsia="es-CO"/>
              </w:rPr>
              <w:br/>
              <w:t>762/2015</w:t>
            </w:r>
            <w:r w:rsidRPr="00DD3C17">
              <w:rPr>
                <w:rFonts w:ascii="Arial" w:eastAsia="Times New Roman" w:hAnsi="Arial" w:cs="Arial"/>
                <w:sz w:val="16"/>
                <w:szCs w:val="16"/>
                <w:lang w:eastAsia="es-CO"/>
              </w:rPr>
              <w:br/>
              <w:t>778/2015</w:t>
            </w:r>
            <w:r w:rsidRPr="00DD3C17">
              <w:rPr>
                <w:rFonts w:ascii="Arial" w:eastAsia="Times New Roman" w:hAnsi="Arial" w:cs="Arial"/>
                <w:sz w:val="16"/>
                <w:szCs w:val="16"/>
                <w:lang w:eastAsia="es-CO"/>
              </w:rPr>
              <w:br/>
              <w:t>788/2015</w:t>
            </w:r>
            <w:r w:rsidRPr="00DD3C17">
              <w:rPr>
                <w:rFonts w:ascii="Arial" w:eastAsia="Times New Roman" w:hAnsi="Arial" w:cs="Arial"/>
                <w:sz w:val="16"/>
                <w:szCs w:val="16"/>
                <w:lang w:eastAsia="es-CO"/>
              </w:rPr>
              <w:br/>
              <w:t>813/2015</w:t>
            </w:r>
            <w:r w:rsidRPr="00DD3C17">
              <w:rPr>
                <w:rFonts w:ascii="Arial" w:eastAsia="Times New Roman" w:hAnsi="Arial" w:cs="Arial"/>
                <w:sz w:val="16"/>
                <w:szCs w:val="16"/>
                <w:lang w:eastAsia="es-CO"/>
              </w:rPr>
              <w:br/>
              <w:t>847/2015</w:t>
            </w:r>
            <w:r w:rsidRPr="00DD3C17">
              <w:rPr>
                <w:rFonts w:ascii="Arial" w:eastAsia="Times New Roman" w:hAnsi="Arial" w:cs="Arial"/>
                <w:sz w:val="16"/>
                <w:szCs w:val="16"/>
                <w:lang w:eastAsia="es-CO"/>
              </w:rPr>
              <w:br/>
              <w:t>962/2015</w:t>
            </w:r>
          </w:p>
        </w:tc>
        <w:tc>
          <w:tcPr>
            <w:tcW w:w="2745"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Mediante las diferentes acciones que realiza el Grupo de Residuos  Hospitalarios se busca minimizar los impactos de este tipo de residuos peligrosos en la ciudad, sobre el ambiente y la salud de los ciudadano, mediante los diferentes seguimientos y controles efectuados a los generadores de manera integral para los diferentes establecimientos, con el fin de evitar la incorrecta disposición de los residuos peligrosos.</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Lo anterior basado en la normatividad ambiental vigente, este grupo enfoca las acciones de seguimiento y control a la gestión externa de los residuos peligrosos (sólidos y líquidos) y de tipo infeccioso, químico y de origen administrativo generados por los establecimientos prestadores de en la atención en salud y otras actividades. Es importante mencionar que en febrero de 2014 se produce un cambio en la normatividad y entra en vigencia el Decreto 351 de 2014 “Por el cual se reglamenta la gestión integral de los </w:t>
            </w:r>
            <w:r w:rsidRPr="00DD3C17">
              <w:rPr>
                <w:rFonts w:ascii="Arial" w:eastAsia="Times New Roman" w:hAnsi="Arial" w:cs="Arial"/>
                <w:sz w:val="16"/>
                <w:szCs w:val="16"/>
                <w:lang w:eastAsia="es-CO"/>
              </w:rPr>
              <w:lastRenderedPageBreak/>
              <w:t xml:space="preserve">residuos generados en la atención en salud y otras actividades”; en donde se amplía el universo de los establecimientos que deben ser controlados,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 Controlar la generación, manejo y disposición de RESPEL conforme a lo establecido en  la normatividad ambiental vigente, redunda en minimizar  el riesgo que dichos residuos puedan generar a las comunidades o a los recursos naturales del D. C.  Esta gestión como ejercicio como autoridad se complementa al control que se ejerce sobre los demás residuos de interés ambiental que desarrolla conjuntamente con distintas dependencias de la SDA.</w:t>
            </w:r>
          </w:p>
        </w:tc>
      </w:tr>
      <w:tr w:rsidR="00B7427E" w:rsidRPr="00DD3C17" w:rsidTr="00DD3C17">
        <w:trPr>
          <w:trHeight w:val="4395"/>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Desarrollar actividades de descongestión para el control  y seguimiento  a los establecimientos generadores de residuos hospitalarios</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Se realizaron 406 visitas de control y seguimiento a establecimientos productores de Residuos generados en la atención en salud y otras actividades en el distrito Capital de conformidad con lo establecido en el Decreto 351 de 2014, el soporte de esto se encuentra disponible en el archivo BASE HOSPITALARIOS 2015 DEF, el cual se encuentra en el servidor de la entidad en la ruta: \\fileserver\BASES SCASP\HOSPITALARIOS\BASE PARA ALIMENTAR</w:t>
            </w:r>
            <w:r w:rsidR="00BA190B" w:rsidRPr="00DD3C17">
              <w:rPr>
                <w:rFonts w:ascii="Arial" w:eastAsia="Times New Roman" w:hAnsi="Arial" w:cs="Arial"/>
                <w:sz w:val="16"/>
                <w:szCs w:val="16"/>
                <w:lang w:eastAsia="es-CO"/>
              </w:rPr>
              <w:t>\.</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Se asignó un total de 3426 procesos en el Sistema de correspondencia FOREST los cuales fueron tramitados por el grupo de Residuos Hospitalarios de la SCASP, tramites que corresponden a Registros de Vertimientos, Permiso de Vertimientos, seguimientos a permisos de vertimientos, acompañamiento y seguimiento a la implementación de tratamientos in situ Registro como Generador de Residuos Peligrosos, Registros como Acopiador Primario de Aceites Usados, informes de gestión, Proyección de conceptos técnicos para inicios de procesos sancionatorios   y oficios de respuesta varias . El soporte de lo anterior se encuentra en el archivo "Asignaciones ene-jun_2015", el cual se ubica en el servidor de la entidad en la ruta</w:t>
            </w:r>
            <w:r w:rsidR="00BA190B" w:rsidRPr="00DD3C17">
              <w:rPr>
                <w:rFonts w:ascii="Arial" w:eastAsia="Times New Roman" w:hAnsi="Arial" w:cs="Arial"/>
                <w:sz w:val="16"/>
                <w:szCs w:val="16"/>
                <w:lang w:eastAsia="es-CO"/>
              </w:rPr>
              <w:t>: \</w:t>
            </w:r>
            <w:r w:rsidRPr="00DD3C17">
              <w:rPr>
                <w:rFonts w:ascii="Arial" w:eastAsia="Times New Roman" w:hAnsi="Arial" w:cs="Arial"/>
                <w:sz w:val="16"/>
                <w:szCs w:val="16"/>
                <w:lang w:eastAsia="es-CO"/>
              </w:rPr>
              <w:t>\fileserver\BASES SCASP\HOSPITALARIOS\INDICADORES\2015.</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Se realizó la revisión de 766 expedientes de la Subdirección con el fin de realizar el proceso de saneamiento de estos. El soporte de lo anterior se encuentra en el archivo "consolidado revisión de expedientes junio_2015", el cual se ubica en el servidor de la entidad en la ruta</w:t>
            </w:r>
            <w:r w:rsidR="00BA190B" w:rsidRPr="00DD3C17">
              <w:rPr>
                <w:rFonts w:ascii="Arial" w:eastAsia="Times New Roman" w:hAnsi="Arial" w:cs="Arial"/>
                <w:sz w:val="16"/>
                <w:szCs w:val="16"/>
                <w:lang w:eastAsia="es-CO"/>
              </w:rPr>
              <w:t>: \</w:t>
            </w:r>
            <w:r w:rsidRPr="00DD3C17">
              <w:rPr>
                <w:rFonts w:ascii="Arial" w:eastAsia="Times New Roman" w:hAnsi="Arial" w:cs="Arial"/>
                <w:sz w:val="16"/>
                <w:szCs w:val="16"/>
                <w:lang w:eastAsia="es-CO"/>
              </w:rPr>
              <w:t>\fileserver\BASES SCASP\HOSPITALARIOS\INDICADORES\2015.</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366/2015</w:t>
            </w:r>
            <w:r w:rsidRPr="00DD3C17">
              <w:rPr>
                <w:rFonts w:ascii="Arial" w:eastAsia="Times New Roman" w:hAnsi="Arial" w:cs="Arial"/>
                <w:sz w:val="16"/>
                <w:szCs w:val="16"/>
                <w:lang w:eastAsia="es-CO"/>
              </w:rPr>
              <w:br/>
              <w:t>421/2015</w:t>
            </w:r>
            <w:r w:rsidRPr="00DD3C17">
              <w:rPr>
                <w:rFonts w:ascii="Arial" w:eastAsia="Times New Roman" w:hAnsi="Arial" w:cs="Arial"/>
                <w:sz w:val="16"/>
                <w:szCs w:val="16"/>
                <w:lang w:eastAsia="es-CO"/>
              </w:rPr>
              <w:br/>
              <w:t>513/2015</w:t>
            </w:r>
            <w:r w:rsidRPr="00DD3C17">
              <w:rPr>
                <w:rFonts w:ascii="Arial" w:eastAsia="Times New Roman" w:hAnsi="Arial" w:cs="Arial"/>
                <w:sz w:val="16"/>
                <w:szCs w:val="16"/>
                <w:lang w:eastAsia="es-CO"/>
              </w:rPr>
              <w:br/>
              <w:t>546/2015</w:t>
            </w:r>
            <w:r w:rsidRPr="00DD3C17">
              <w:rPr>
                <w:rFonts w:ascii="Arial" w:eastAsia="Times New Roman" w:hAnsi="Arial" w:cs="Arial"/>
                <w:sz w:val="16"/>
                <w:szCs w:val="16"/>
                <w:lang w:eastAsia="es-CO"/>
              </w:rPr>
              <w:br/>
              <w:t>628/2015</w:t>
            </w:r>
            <w:r w:rsidRPr="00DD3C17">
              <w:rPr>
                <w:rFonts w:ascii="Arial" w:eastAsia="Times New Roman" w:hAnsi="Arial" w:cs="Arial"/>
                <w:sz w:val="16"/>
                <w:szCs w:val="16"/>
                <w:lang w:eastAsia="es-CO"/>
              </w:rPr>
              <w:br/>
              <w:t>632/2015</w:t>
            </w:r>
            <w:r w:rsidRPr="00DD3C17">
              <w:rPr>
                <w:rFonts w:ascii="Arial" w:eastAsia="Times New Roman" w:hAnsi="Arial" w:cs="Arial"/>
                <w:sz w:val="16"/>
                <w:szCs w:val="16"/>
                <w:lang w:eastAsia="es-CO"/>
              </w:rPr>
              <w:br/>
              <w:t>639/2015</w:t>
            </w:r>
            <w:r w:rsidRPr="00DD3C17">
              <w:rPr>
                <w:rFonts w:ascii="Arial" w:eastAsia="Times New Roman" w:hAnsi="Arial" w:cs="Arial"/>
                <w:sz w:val="16"/>
                <w:szCs w:val="16"/>
                <w:lang w:eastAsia="es-CO"/>
              </w:rPr>
              <w:br/>
              <w:t>762/2015</w:t>
            </w:r>
            <w:r w:rsidRPr="00DD3C17">
              <w:rPr>
                <w:rFonts w:ascii="Arial" w:eastAsia="Times New Roman" w:hAnsi="Arial" w:cs="Arial"/>
                <w:sz w:val="16"/>
                <w:szCs w:val="16"/>
                <w:lang w:eastAsia="es-CO"/>
              </w:rPr>
              <w:br/>
              <w:t>778/2015</w:t>
            </w:r>
            <w:r w:rsidRPr="00DD3C17">
              <w:rPr>
                <w:rFonts w:ascii="Arial" w:eastAsia="Times New Roman" w:hAnsi="Arial" w:cs="Arial"/>
                <w:sz w:val="16"/>
                <w:szCs w:val="16"/>
                <w:lang w:eastAsia="es-CO"/>
              </w:rPr>
              <w:br/>
              <w:t>788/2015</w:t>
            </w:r>
            <w:r w:rsidRPr="00DD3C17">
              <w:rPr>
                <w:rFonts w:ascii="Arial" w:eastAsia="Times New Roman" w:hAnsi="Arial" w:cs="Arial"/>
                <w:sz w:val="16"/>
                <w:szCs w:val="16"/>
                <w:lang w:eastAsia="es-CO"/>
              </w:rPr>
              <w:br/>
              <w:t>813/2015</w:t>
            </w:r>
            <w:r w:rsidRPr="00DD3C17">
              <w:rPr>
                <w:rFonts w:ascii="Arial" w:eastAsia="Times New Roman" w:hAnsi="Arial" w:cs="Arial"/>
                <w:sz w:val="16"/>
                <w:szCs w:val="16"/>
                <w:lang w:eastAsia="es-CO"/>
              </w:rPr>
              <w:br/>
              <w:t>847/2015</w:t>
            </w:r>
            <w:r w:rsidRPr="00DD3C17">
              <w:rPr>
                <w:rFonts w:ascii="Arial" w:eastAsia="Times New Roman" w:hAnsi="Arial" w:cs="Arial"/>
                <w:sz w:val="16"/>
                <w:szCs w:val="16"/>
                <w:lang w:eastAsia="es-CO"/>
              </w:rPr>
              <w:br/>
              <w:t>962/2015</w:t>
            </w:r>
          </w:p>
        </w:tc>
        <w:tc>
          <w:tcPr>
            <w:tcW w:w="2745"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Mediante las diferentes acciones que realiza el Grupo de Residuos  Hospitalarios se busca minimizar los impactos de este tipo de residuos peligrosos en la ciudad, sobre el ambiente y la salud de los ciudadano, mediante los diferentes seguimientos y controles efectuados a los generadores de manera integral para los diferentes establecimientos, con el fin de evitar la incorrecta disposición de los residuos peligrosos.</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Lo anterior basado en la normatividad ambiental vigente, este grupo enfoca las acciones de seguimiento y control a la gestión externa de los residuos peligrosos (sólidos y líquidos) y de tipo infeccioso, químico y de origen administrativo generados por los establecimientos prestadores de en la atención en salud y otras actividades. Es importante mencionar que en febrero de 2014 se produce un cambio en la normatividad y entra en vigencia el Decreto 351 de 2014 “Por el cual se reglamenta la gestión integral de los </w:t>
            </w:r>
            <w:r w:rsidRPr="00DD3C17">
              <w:rPr>
                <w:rFonts w:ascii="Arial" w:eastAsia="Times New Roman" w:hAnsi="Arial" w:cs="Arial"/>
                <w:sz w:val="16"/>
                <w:szCs w:val="16"/>
                <w:lang w:eastAsia="es-CO"/>
              </w:rPr>
              <w:lastRenderedPageBreak/>
              <w:t xml:space="preserve">residuos generados en la atención en salud y otras actividades”; en donde se amplía el universo de los establecimientos que deben ser controlados,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 Controlar la generación, manejo y disposición de RESPEL conforme a lo establecido en  la normatividad ambiental vigente, redunda en minimizar  el riesgo que dichos residuos puedan generar a las comunidades o a los recursos naturales del D. C.  Esta gestión como ejercicio como autoridad se complementa al control que se ejerce sobre los demás residuos de interés ambiental que desarrolla conjuntamente con distintas dependencias de la SDA</w:t>
            </w:r>
          </w:p>
        </w:tc>
      </w:tr>
      <w:tr w:rsidR="00B7427E" w:rsidRPr="00DD3C17" w:rsidTr="00DD3C17">
        <w:trPr>
          <w:trHeight w:val="3120"/>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Desarrollar el programa de control y seguimiento a la generación de residuos peligrosos en el D. C. (10.000 Ton/año) y seguimiento a licencias ambientales a gestores de residuos peligrosos</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Para la vigencia 2015, se reporta una programación de CERO Toneladas de RESPEL controladas y gestionadas adecuadamente.</w:t>
            </w:r>
            <w:r w:rsidRPr="00DD3C17">
              <w:rPr>
                <w:rFonts w:ascii="Arial" w:eastAsia="Times New Roman" w:hAnsi="Arial" w:cs="Arial"/>
                <w:sz w:val="16"/>
                <w:szCs w:val="16"/>
                <w:lang w:eastAsia="es-CO"/>
              </w:rPr>
              <w:br/>
              <w:t>Sin embargo, como proceso de cierre de la vigencia anterior, la Subdirección del Recurso Hídrico y del Suelo con el objeto de consolidar el indicador de la meta del proyecto 826, solicita trimestralmente a los usuarios licenciados para el manejo de RESPEL, las cantidades de residuos peligrosos que gestionan. Dichos reportes son cuantificados de manera trimestral y son la base para establecer la progresión de la meta del proyecto. El dato consolidado es 27'672.126,70 kg de residuos peligrosos generados en el Distrito Capital que han gestionados adecuadamente. El reporte se entrega con los datos disponibles al 29 de Enero del año 2015 y corresponde a todo el año 2014.</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Al cierre de la vigencia 2014 se habían reportado 16.996 Toneladas, datos consolidados con los registros recibidos y validados a octubre de 2014 pero luego de registrar evaluar y depurar la información con cierre a diciembre 31 de 2014, se validaron 10.676 Toneladas de RESPEL gestionados, es decir, en total para la vigencia 2014, se alcanzó los 27.672 Toneladas de RESPEL gestionados adecuadamente.</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No se ejecutaron contratos  - no hubo reporte de avance en  la magnitud  para el 2015.</w:t>
            </w:r>
          </w:p>
        </w:tc>
        <w:tc>
          <w:tcPr>
            <w:tcW w:w="2745"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Mediante las diferentes acciones que realiza el Grupo de Residuos  Hospitalarios se busca minimizar los impactos de este tipo de residuos peligrosos en la ciudad, sobre el ambiente y la salud de los ciudadano, mediante los diferentes seguimientos y controles efectuados a los generadores de manera integral para los diferentes establecimientos, con el fin de evitar la incorrecta disposición de los residuos peligrosos.</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Lo anterior basado en la normatividad ambiental vigente, este grupo enfoca las acciones de seguimiento y control a la gestión externa de los residuos peligrosos (sólidos y líquidos) y de tipo infeccioso, químico y de origen administrativo generados por los establecimientos prestadores de en la atención en salud y otras actividades. Es importante mencionar que en febrero de 2014 se produce un cambio en la normatividad y entra en vigencia el Decreto 351 de 2014 “Por el cual se reglamenta la gestión integral de los </w:t>
            </w:r>
            <w:r w:rsidRPr="00DD3C17">
              <w:rPr>
                <w:rFonts w:ascii="Arial" w:eastAsia="Times New Roman" w:hAnsi="Arial" w:cs="Arial"/>
                <w:sz w:val="16"/>
                <w:szCs w:val="16"/>
                <w:lang w:eastAsia="es-CO"/>
              </w:rPr>
              <w:lastRenderedPageBreak/>
              <w:t xml:space="preserve">residuos generados en la atención en salud y otras actividades”; en donde se amplía el universo de los establecimientos que deben ser controlados,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 Controlar la generación, manejo y disposición de RESPEL conforme a lo establecido en  la normatividad ambiental vigente, redunda en minimizar  el riesgo que dichos residuos puedan generar a las comunidades o a los recursos naturales del D. C.  Esta gestión como ejercicio como autoridad se complementa al control que se ejerce sobre los demás residuos de interés ambiental que desarrolla conjuntamente con distintas dependencias de la SDA</w:t>
            </w:r>
          </w:p>
        </w:tc>
      </w:tr>
      <w:tr w:rsidR="00B7427E" w:rsidRPr="00DD3C17" w:rsidTr="00DD3C17">
        <w:trPr>
          <w:trHeight w:val="1785"/>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seguimiento a Mega obras urbanas e instrumentos y  obras de infraestructura  de gran impacto local y/o zonal  y/o urbano  y/o  regional en la ciudad de Bogotá.</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Durante el 2015 se realizaron 30 visitas a nuevos megaproyecto y/o Instrumentos de Planeamiento que generan impactos ambientales de gran magnitud en la ciudad, que requieren seguimiento y control permanente por parte la autoridad ambiental, estas visitas se realizaron en las localidades de Puente Aranda, Santa fe, Bosa y Usaquén.</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253 /2015</w:t>
            </w:r>
            <w:r w:rsidRPr="00DD3C17">
              <w:rPr>
                <w:rFonts w:ascii="Arial" w:eastAsia="Times New Roman" w:hAnsi="Arial" w:cs="Arial"/>
                <w:sz w:val="16"/>
                <w:szCs w:val="16"/>
                <w:lang w:eastAsia="es-CO"/>
              </w:rPr>
              <w:br/>
              <w:t>269/ 2015</w:t>
            </w:r>
            <w:r w:rsidRPr="00DD3C17">
              <w:rPr>
                <w:rFonts w:ascii="Arial" w:eastAsia="Times New Roman" w:hAnsi="Arial" w:cs="Arial"/>
                <w:sz w:val="16"/>
                <w:szCs w:val="16"/>
                <w:lang w:eastAsia="es-CO"/>
              </w:rPr>
              <w:br/>
              <w:t>416/ 2015</w:t>
            </w:r>
            <w:r w:rsidRPr="00DD3C17">
              <w:rPr>
                <w:rFonts w:ascii="Arial" w:eastAsia="Times New Roman" w:hAnsi="Arial" w:cs="Arial"/>
                <w:sz w:val="16"/>
                <w:szCs w:val="16"/>
                <w:lang w:eastAsia="es-CO"/>
              </w:rPr>
              <w:br/>
              <w:t>1079 /2015</w:t>
            </w:r>
          </w:p>
        </w:tc>
        <w:tc>
          <w:tcPr>
            <w:tcW w:w="2745" w:type="dxa"/>
            <w:vMerge w:val="restart"/>
            <w:shd w:val="clear" w:color="auto" w:fill="auto"/>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La disposición inadecuada de residuos sólidos, en el Distrito Capital ha sido catalogada como una de las problemáticas ambientales que se debe controlar en la ciudad. Lo anterior ya que afecta gravemente los recursos naturales como aire, agua, suelo, flora, fauna, entre otros. Adicionalmente perturba la calidad </w:t>
            </w:r>
            <w:r w:rsidRPr="00DD3C17">
              <w:rPr>
                <w:rFonts w:ascii="Arial" w:eastAsia="Times New Roman" w:hAnsi="Arial" w:cs="Arial"/>
                <w:sz w:val="16"/>
                <w:szCs w:val="16"/>
                <w:lang w:eastAsia="es-CO"/>
              </w:rPr>
              <w:lastRenderedPageBreak/>
              <w:t>de vida de los habitantes alterando su paisaje y entorno en el cual desarrollan sus actividades de vivienda, trabajo y/o esparcimiento</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La SDA fortaleció las acciones conducentes a la disminución de las afectaciones realizando acciones  de evaluación, control y seguimiento sobre las actividades constructivas que generan RCD, el cual se focaliza en las mega obras urbanas y obras civiles con áreas mayores a 5.000 m2.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Es así, como desde la SDA se definen e implementan estrategias encaminadas a mitigar la problemática ambiental relacionada con la inadecuada gestión de RCD en  Bogotá a través de la expedición y cumplimiento de nueva normatividad ambiental para </w:t>
            </w:r>
            <w:r w:rsidRPr="00DD3C17">
              <w:rPr>
                <w:rFonts w:ascii="Arial" w:eastAsia="Times New Roman" w:hAnsi="Arial" w:cs="Arial"/>
                <w:sz w:val="16"/>
                <w:szCs w:val="16"/>
                <w:lang w:eastAsia="es-CO"/>
              </w:rPr>
              <w:lastRenderedPageBreak/>
              <w:t xml:space="preserve">fortalecer las acciones de control como también incentivar el aprovechamiento y/o tratamiento de los RCD; el desarrollo de herramientas tecnológicas que permitan georreferenciar las obras constructivas que se desarrollan en la ciudad  y efectuar su seguimiento por autorregulación y reporte por parte de los grandes generadores </w:t>
            </w:r>
            <w:r w:rsidRPr="00DD3C17">
              <w:rPr>
                <w:rFonts w:ascii="Arial" w:eastAsia="Times New Roman" w:hAnsi="Arial" w:cs="Arial"/>
                <w:sz w:val="16"/>
                <w:szCs w:val="16"/>
                <w:lang w:eastAsia="es-CO"/>
              </w:rPr>
              <w:lastRenderedPageBreak/>
              <w:t>de RCD públicos y privados.</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Las actividades de  evaluación, control y seguimiento a la gestión integral de RCD en Bogotá D. C., ha contribuido en la reducción de la presión de deterioro que ejerce el sector de la construcción sobre las áreas de espacio público así como áreas de alto valor ecológico de la Estructura Ecológica Principal –EEP- que concentra gran parte de la biodiversidad de Bogotá.</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Mejorar la gestión integral de RCD ha permitido avanzar en un proceso para la consolidación de una cultura de autorregulación en la cadena de gestión (transportadores, grandes generadores, sitios de disposición final y plantas de tratamiento y aprovechamiento) la cual tiende en un mediano y largo plazo a “escombro cero” en Bogotá, lo que conlleva a transformar el manejo de este tipo de residuos hacia una </w:t>
            </w:r>
            <w:r w:rsidRPr="00DD3C17">
              <w:rPr>
                <w:rFonts w:ascii="Arial" w:eastAsia="Times New Roman" w:hAnsi="Arial" w:cs="Arial"/>
                <w:sz w:val="16"/>
                <w:szCs w:val="16"/>
                <w:lang w:eastAsia="es-CO"/>
              </w:rPr>
              <w:lastRenderedPageBreak/>
              <w:t>visión innovadora para su aprovechamiento incidiendo además en la disminución la presión antrópica sobre los recursos naturales utilizados como materiales para la construcción.</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Disminuir los materiales de construcción los cuales hacen parte de una labor extractiva en canteras y chircales que impacta el medio ambiente y altera diversos recursos naturales especialmente el suelo, el agua y el aire</w:t>
            </w:r>
            <w:r w:rsidRPr="00DD3C17">
              <w:rPr>
                <w:rFonts w:ascii="Arial" w:eastAsia="Times New Roman" w:hAnsi="Arial" w:cs="Arial"/>
                <w:sz w:val="16"/>
                <w:szCs w:val="16"/>
                <w:lang w:eastAsia="es-CO"/>
              </w:rPr>
              <w:br/>
              <w:t xml:space="preserve"> </w:t>
            </w:r>
          </w:p>
        </w:tc>
      </w:tr>
      <w:tr w:rsidR="00B7427E" w:rsidRPr="00DD3C17" w:rsidTr="00DD3C17">
        <w:trPr>
          <w:trHeight w:val="4350"/>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Realizar la evaluación, control y seguimiento al inadecuado manejo y disposición de escombros y demás residuos generados en el Distrito Capital, a través del desarrollo de actuaciones técnicas y/o jurídicas.</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Al cierre del 2015 se realizaron 159 visitas de control y seguimiento a quejas, derechos de petición y oficios por disposición ilegal de RCD y otros temas relacionados con obras de construcción en predios privados y áreas públicas. </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01/2015</w:t>
            </w:r>
            <w:r w:rsidRPr="00DD3C17">
              <w:rPr>
                <w:rFonts w:ascii="Arial" w:eastAsia="Times New Roman" w:hAnsi="Arial" w:cs="Arial"/>
                <w:sz w:val="16"/>
                <w:szCs w:val="16"/>
                <w:lang w:eastAsia="es-CO"/>
              </w:rPr>
              <w:br/>
              <w:t>65/2015</w:t>
            </w:r>
            <w:r w:rsidRPr="00DD3C17">
              <w:rPr>
                <w:rFonts w:ascii="Arial" w:eastAsia="Times New Roman" w:hAnsi="Arial" w:cs="Arial"/>
                <w:sz w:val="16"/>
                <w:szCs w:val="16"/>
                <w:lang w:eastAsia="es-CO"/>
              </w:rPr>
              <w:br/>
              <w:t>81/2015</w:t>
            </w:r>
            <w:r w:rsidRPr="00DD3C17">
              <w:rPr>
                <w:rFonts w:ascii="Arial" w:eastAsia="Times New Roman" w:hAnsi="Arial" w:cs="Arial"/>
                <w:sz w:val="16"/>
                <w:szCs w:val="16"/>
                <w:lang w:eastAsia="es-CO"/>
              </w:rPr>
              <w:br/>
              <w:t>101/2015</w:t>
            </w:r>
            <w:r w:rsidRPr="00DD3C17">
              <w:rPr>
                <w:rFonts w:ascii="Arial" w:eastAsia="Times New Roman" w:hAnsi="Arial" w:cs="Arial"/>
                <w:sz w:val="16"/>
                <w:szCs w:val="16"/>
                <w:lang w:eastAsia="es-CO"/>
              </w:rPr>
              <w:br/>
              <w:t>107/2015</w:t>
            </w:r>
            <w:r w:rsidRPr="00DD3C17">
              <w:rPr>
                <w:rFonts w:ascii="Arial" w:eastAsia="Times New Roman" w:hAnsi="Arial" w:cs="Arial"/>
                <w:sz w:val="16"/>
                <w:szCs w:val="16"/>
                <w:lang w:eastAsia="es-CO"/>
              </w:rPr>
              <w:br/>
              <w:t>110/2015</w:t>
            </w:r>
            <w:r w:rsidRPr="00DD3C17">
              <w:rPr>
                <w:rFonts w:ascii="Arial" w:eastAsia="Times New Roman" w:hAnsi="Arial" w:cs="Arial"/>
                <w:sz w:val="16"/>
                <w:szCs w:val="16"/>
                <w:lang w:eastAsia="es-CO"/>
              </w:rPr>
              <w:br/>
              <w:t>114/2015</w:t>
            </w:r>
            <w:r w:rsidRPr="00DD3C17">
              <w:rPr>
                <w:rFonts w:ascii="Arial" w:eastAsia="Times New Roman" w:hAnsi="Arial" w:cs="Arial"/>
                <w:sz w:val="16"/>
                <w:szCs w:val="16"/>
                <w:lang w:eastAsia="es-CO"/>
              </w:rPr>
              <w:br/>
              <w:t>116/2015</w:t>
            </w:r>
            <w:r w:rsidRPr="00DD3C17">
              <w:rPr>
                <w:rFonts w:ascii="Arial" w:eastAsia="Times New Roman" w:hAnsi="Arial" w:cs="Arial"/>
                <w:sz w:val="16"/>
                <w:szCs w:val="16"/>
                <w:lang w:eastAsia="es-CO"/>
              </w:rPr>
              <w:br/>
              <w:t>136/2015</w:t>
            </w:r>
            <w:r w:rsidRPr="00DD3C17">
              <w:rPr>
                <w:rFonts w:ascii="Arial" w:eastAsia="Times New Roman" w:hAnsi="Arial" w:cs="Arial"/>
                <w:sz w:val="16"/>
                <w:szCs w:val="16"/>
                <w:lang w:eastAsia="es-CO"/>
              </w:rPr>
              <w:br/>
              <w:t>139/2015</w:t>
            </w:r>
            <w:r w:rsidRPr="00DD3C17">
              <w:rPr>
                <w:rFonts w:ascii="Arial" w:eastAsia="Times New Roman" w:hAnsi="Arial" w:cs="Arial"/>
                <w:sz w:val="16"/>
                <w:szCs w:val="16"/>
                <w:lang w:eastAsia="es-CO"/>
              </w:rPr>
              <w:br/>
              <w:t>154/2015</w:t>
            </w:r>
            <w:r w:rsidRPr="00DD3C17">
              <w:rPr>
                <w:rFonts w:ascii="Arial" w:eastAsia="Times New Roman" w:hAnsi="Arial" w:cs="Arial"/>
                <w:sz w:val="16"/>
                <w:szCs w:val="16"/>
                <w:lang w:eastAsia="es-CO"/>
              </w:rPr>
              <w:br/>
              <w:t>138/2015</w:t>
            </w:r>
            <w:r w:rsidRPr="00DD3C17">
              <w:rPr>
                <w:rFonts w:ascii="Arial" w:eastAsia="Times New Roman" w:hAnsi="Arial" w:cs="Arial"/>
                <w:sz w:val="16"/>
                <w:szCs w:val="16"/>
                <w:lang w:eastAsia="es-CO"/>
              </w:rPr>
              <w:br/>
              <w:t>175/2015</w:t>
            </w:r>
            <w:r w:rsidRPr="00DD3C17">
              <w:rPr>
                <w:rFonts w:ascii="Arial" w:eastAsia="Times New Roman" w:hAnsi="Arial" w:cs="Arial"/>
                <w:sz w:val="16"/>
                <w:szCs w:val="16"/>
                <w:lang w:eastAsia="es-CO"/>
              </w:rPr>
              <w:br/>
              <w:t>165/2015</w:t>
            </w:r>
            <w:r w:rsidRPr="00DD3C17">
              <w:rPr>
                <w:rFonts w:ascii="Arial" w:eastAsia="Times New Roman" w:hAnsi="Arial" w:cs="Arial"/>
                <w:sz w:val="16"/>
                <w:szCs w:val="16"/>
                <w:lang w:eastAsia="es-CO"/>
              </w:rPr>
              <w:br/>
              <w:t>200/2015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224/2015</w:t>
            </w:r>
            <w:r w:rsidRPr="00DD3C17">
              <w:rPr>
                <w:rFonts w:ascii="Arial" w:eastAsia="Times New Roman" w:hAnsi="Arial" w:cs="Arial"/>
                <w:sz w:val="16"/>
                <w:szCs w:val="16"/>
                <w:lang w:eastAsia="es-CO"/>
              </w:rPr>
              <w:br/>
              <w:t>231/2015</w:t>
            </w:r>
            <w:r w:rsidRPr="00DD3C17">
              <w:rPr>
                <w:rFonts w:ascii="Arial" w:eastAsia="Times New Roman" w:hAnsi="Arial" w:cs="Arial"/>
                <w:sz w:val="16"/>
                <w:szCs w:val="16"/>
                <w:lang w:eastAsia="es-CO"/>
              </w:rPr>
              <w:br/>
              <w:t>242/2015</w:t>
            </w:r>
            <w:r w:rsidRPr="00DD3C17">
              <w:rPr>
                <w:rFonts w:ascii="Arial" w:eastAsia="Times New Roman" w:hAnsi="Arial" w:cs="Arial"/>
                <w:sz w:val="16"/>
                <w:szCs w:val="16"/>
                <w:lang w:eastAsia="es-CO"/>
              </w:rPr>
              <w:br/>
              <w:t>247/2015</w:t>
            </w:r>
            <w:r w:rsidRPr="00DD3C17">
              <w:rPr>
                <w:rFonts w:ascii="Arial" w:eastAsia="Times New Roman" w:hAnsi="Arial" w:cs="Arial"/>
                <w:sz w:val="16"/>
                <w:szCs w:val="16"/>
                <w:lang w:eastAsia="es-CO"/>
              </w:rPr>
              <w:br/>
              <w:t>255/2015</w:t>
            </w:r>
            <w:r w:rsidRPr="00DD3C17">
              <w:rPr>
                <w:rFonts w:ascii="Arial" w:eastAsia="Times New Roman" w:hAnsi="Arial" w:cs="Arial"/>
                <w:sz w:val="16"/>
                <w:szCs w:val="16"/>
                <w:lang w:eastAsia="es-CO"/>
              </w:rPr>
              <w:br/>
              <w:t>260/2015</w:t>
            </w:r>
            <w:r w:rsidRPr="00DD3C17">
              <w:rPr>
                <w:rFonts w:ascii="Arial" w:eastAsia="Times New Roman" w:hAnsi="Arial" w:cs="Arial"/>
                <w:sz w:val="16"/>
                <w:szCs w:val="16"/>
                <w:lang w:eastAsia="es-CO"/>
              </w:rPr>
              <w:br/>
              <w:t>274/2015</w:t>
            </w:r>
            <w:r w:rsidRPr="00DD3C17">
              <w:rPr>
                <w:rFonts w:ascii="Arial" w:eastAsia="Times New Roman" w:hAnsi="Arial" w:cs="Arial"/>
                <w:sz w:val="16"/>
                <w:szCs w:val="16"/>
                <w:lang w:eastAsia="es-CO"/>
              </w:rPr>
              <w:br/>
              <w:t>278/2015</w:t>
            </w:r>
            <w:r w:rsidRPr="00DD3C17">
              <w:rPr>
                <w:rFonts w:ascii="Arial" w:eastAsia="Times New Roman" w:hAnsi="Arial" w:cs="Arial"/>
                <w:sz w:val="16"/>
                <w:szCs w:val="16"/>
                <w:lang w:eastAsia="es-CO"/>
              </w:rPr>
              <w:br/>
              <w:t>279/2015</w:t>
            </w:r>
            <w:r w:rsidRPr="00DD3C17">
              <w:rPr>
                <w:rFonts w:ascii="Arial" w:eastAsia="Times New Roman" w:hAnsi="Arial" w:cs="Arial"/>
                <w:sz w:val="16"/>
                <w:szCs w:val="16"/>
                <w:lang w:eastAsia="es-CO"/>
              </w:rPr>
              <w:br/>
              <w:t>291/2015</w:t>
            </w:r>
            <w:r w:rsidRPr="00DD3C17">
              <w:rPr>
                <w:rFonts w:ascii="Arial" w:eastAsia="Times New Roman" w:hAnsi="Arial" w:cs="Arial"/>
                <w:sz w:val="16"/>
                <w:szCs w:val="16"/>
                <w:lang w:eastAsia="es-CO"/>
              </w:rPr>
              <w:br/>
              <w:t>302/2015</w:t>
            </w:r>
            <w:r w:rsidRPr="00DD3C17">
              <w:rPr>
                <w:rFonts w:ascii="Arial" w:eastAsia="Times New Roman" w:hAnsi="Arial" w:cs="Arial"/>
                <w:sz w:val="16"/>
                <w:szCs w:val="16"/>
                <w:lang w:eastAsia="es-CO"/>
              </w:rPr>
              <w:br/>
              <w:t>303/2015</w:t>
            </w:r>
            <w:r w:rsidRPr="00DD3C17">
              <w:rPr>
                <w:rFonts w:ascii="Arial" w:eastAsia="Times New Roman" w:hAnsi="Arial" w:cs="Arial"/>
                <w:sz w:val="16"/>
                <w:szCs w:val="16"/>
                <w:lang w:eastAsia="es-CO"/>
              </w:rPr>
              <w:br/>
              <w:t>312/2015</w:t>
            </w:r>
            <w:r w:rsidRPr="00DD3C17">
              <w:rPr>
                <w:rFonts w:ascii="Arial" w:eastAsia="Times New Roman" w:hAnsi="Arial" w:cs="Arial"/>
                <w:sz w:val="16"/>
                <w:szCs w:val="16"/>
                <w:lang w:eastAsia="es-CO"/>
              </w:rPr>
              <w:br/>
              <w:t>338/2015</w:t>
            </w:r>
            <w:r w:rsidRPr="00DD3C17">
              <w:rPr>
                <w:rFonts w:ascii="Arial" w:eastAsia="Times New Roman" w:hAnsi="Arial" w:cs="Arial"/>
                <w:sz w:val="16"/>
                <w:szCs w:val="16"/>
                <w:lang w:eastAsia="es-CO"/>
              </w:rPr>
              <w:br/>
              <w:t>347/2015</w:t>
            </w:r>
            <w:r w:rsidRPr="00DD3C17">
              <w:rPr>
                <w:rFonts w:ascii="Arial" w:eastAsia="Times New Roman" w:hAnsi="Arial" w:cs="Arial"/>
                <w:sz w:val="16"/>
                <w:szCs w:val="16"/>
                <w:lang w:eastAsia="es-CO"/>
              </w:rPr>
              <w:br/>
              <w:t>350/2015</w:t>
            </w:r>
            <w:r w:rsidRPr="00DD3C17">
              <w:rPr>
                <w:rFonts w:ascii="Arial" w:eastAsia="Times New Roman" w:hAnsi="Arial" w:cs="Arial"/>
                <w:sz w:val="16"/>
                <w:szCs w:val="16"/>
                <w:lang w:eastAsia="es-CO"/>
              </w:rPr>
              <w:br/>
              <w:t>355/2015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364/2015</w:t>
            </w:r>
            <w:r w:rsidRPr="00DD3C17">
              <w:rPr>
                <w:rFonts w:ascii="Arial" w:eastAsia="Times New Roman" w:hAnsi="Arial" w:cs="Arial"/>
                <w:sz w:val="16"/>
                <w:szCs w:val="16"/>
                <w:lang w:eastAsia="es-CO"/>
              </w:rPr>
              <w:br/>
              <w:t>365/2015</w:t>
            </w:r>
            <w:r w:rsidRPr="00DD3C17">
              <w:rPr>
                <w:rFonts w:ascii="Arial" w:eastAsia="Times New Roman" w:hAnsi="Arial" w:cs="Arial"/>
                <w:sz w:val="16"/>
                <w:szCs w:val="16"/>
                <w:lang w:eastAsia="es-CO"/>
              </w:rPr>
              <w:br/>
              <w:t>384/2015</w:t>
            </w:r>
            <w:r w:rsidRPr="00DD3C17">
              <w:rPr>
                <w:rFonts w:ascii="Arial" w:eastAsia="Times New Roman" w:hAnsi="Arial" w:cs="Arial"/>
                <w:sz w:val="16"/>
                <w:szCs w:val="16"/>
                <w:lang w:eastAsia="es-CO"/>
              </w:rPr>
              <w:br/>
              <w:t>388/2015</w:t>
            </w:r>
            <w:r w:rsidRPr="00DD3C17">
              <w:rPr>
                <w:rFonts w:ascii="Arial" w:eastAsia="Times New Roman" w:hAnsi="Arial" w:cs="Arial"/>
                <w:sz w:val="16"/>
                <w:szCs w:val="16"/>
                <w:lang w:eastAsia="es-CO"/>
              </w:rPr>
              <w:br/>
              <w:t>408/2015</w:t>
            </w:r>
            <w:r w:rsidRPr="00DD3C17">
              <w:rPr>
                <w:rFonts w:ascii="Arial" w:eastAsia="Times New Roman" w:hAnsi="Arial" w:cs="Arial"/>
                <w:sz w:val="16"/>
                <w:szCs w:val="16"/>
                <w:lang w:eastAsia="es-CO"/>
              </w:rPr>
              <w:br/>
              <w:t>413/2015</w:t>
            </w:r>
            <w:r w:rsidRPr="00DD3C17">
              <w:rPr>
                <w:rFonts w:ascii="Arial" w:eastAsia="Times New Roman" w:hAnsi="Arial" w:cs="Arial"/>
                <w:sz w:val="16"/>
                <w:szCs w:val="16"/>
                <w:lang w:eastAsia="es-CO"/>
              </w:rPr>
              <w:br/>
              <w:t>472/2015</w:t>
            </w:r>
            <w:r w:rsidRPr="00DD3C17">
              <w:rPr>
                <w:rFonts w:ascii="Arial" w:eastAsia="Times New Roman" w:hAnsi="Arial" w:cs="Arial"/>
                <w:sz w:val="16"/>
                <w:szCs w:val="16"/>
                <w:lang w:eastAsia="es-CO"/>
              </w:rPr>
              <w:br/>
              <w:t>495/2015</w:t>
            </w:r>
            <w:r w:rsidRPr="00DD3C17">
              <w:rPr>
                <w:rFonts w:ascii="Arial" w:eastAsia="Times New Roman" w:hAnsi="Arial" w:cs="Arial"/>
                <w:sz w:val="16"/>
                <w:szCs w:val="16"/>
                <w:lang w:eastAsia="es-CO"/>
              </w:rPr>
              <w:br/>
              <w:t>518/2015</w:t>
            </w:r>
            <w:r w:rsidRPr="00DD3C17">
              <w:rPr>
                <w:rFonts w:ascii="Arial" w:eastAsia="Times New Roman" w:hAnsi="Arial" w:cs="Arial"/>
                <w:sz w:val="16"/>
                <w:szCs w:val="16"/>
                <w:lang w:eastAsia="es-CO"/>
              </w:rPr>
              <w:br/>
              <w:t>544/2015</w:t>
            </w:r>
            <w:r w:rsidRPr="00DD3C17">
              <w:rPr>
                <w:rFonts w:ascii="Arial" w:eastAsia="Times New Roman" w:hAnsi="Arial" w:cs="Arial"/>
                <w:sz w:val="16"/>
                <w:szCs w:val="16"/>
                <w:lang w:eastAsia="es-CO"/>
              </w:rPr>
              <w:br/>
              <w:t>558/2015</w:t>
            </w:r>
            <w:r w:rsidRPr="00DD3C17">
              <w:rPr>
                <w:rFonts w:ascii="Arial" w:eastAsia="Times New Roman" w:hAnsi="Arial" w:cs="Arial"/>
                <w:sz w:val="16"/>
                <w:szCs w:val="16"/>
                <w:lang w:eastAsia="es-CO"/>
              </w:rPr>
              <w:br/>
              <w:t>568/2015</w:t>
            </w:r>
            <w:r w:rsidRPr="00DD3C17">
              <w:rPr>
                <w:rFonts w:ascii="Arial" w:eastAsia="Times New Roman" w:hAnsi="Arial" w:cs="Arial"/>
                <w:sz w:val="16"/>
                <w:szCs w:val="16"/>
                <w:lang w:eastAsia="es-CO"/>
              </w:rPr>
              <w:br/>
              <w:t>585/2015</w:t>
            </w:r>
            <w:r w:rsidRPr="00DD3C17">
              <w:rPr>
                <w:rFonts w:ascii="Arial" w:eastAsia="Times New Roman" w:hAnsi="Arial" w:cs="Arial"/>
                <w:sz w:val="16"/>
                <w:szCs w:val="16"/>
                <w:lang w:eastAsia="es-CO"/>
              </w:rPr>
              <w:br/>
              <w:t>610/2015</w:t>
            </w:r>
            <w:r w:rsidRPr="00DD3C17">
              <w:rPr>
                <w:rFonts w:ascii="Arial" w:eastAsia="Times New Roman" w:hAnsi="Arial" w:cs="Arial"/>
                <w:sz w:val="16"/>
                <w:szCs w:val="16"/>
                <w:lang w:eastAsia="es-CO"/>
              </w:rPr>
              <w:br/>
              <w:t>623/2015</w:t>
            </w:r>
            <w:r w:rsidRPr="00DD3C17">
              <w:rPr>
                <w:rFonts w:ascii="Arial" w:eastAsia="Times New Roman" w:hAnsi="Arial" w:cs="Arial"/>
                <w:sz w:val="16"/>
                <w:szCs w:val="16"/>
                <w:lang w:eastAsia="es-CO"/>
              </w:rPr>
              <w:br/>
              <w:t>634/2015</w:t>
            </w:r>
            <w:r w:rsidRPr="00DD3C17">
              <w:rPr>
                <w:rFonts w:ascii="Arial" w:eastAsia="Times New Roman" w:hAnsi="Arial" w:cs="Arial"/>
                <w:sz w:val="16"/>
                <w:szCs w:val="16"/>
                <w:lang w:eastAsia="es-CO"/>
              </w:rPr>
              <w:br/>
              <w:t>649/2015</w:t>
            </w:r>
          </w:p>
        </w:tc>
        <w:tc>
          <w:tcPr>
            <w:tcW w:w="1063"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640/2015</w:t>
            </w:r>
            <w:r w:rsidRPr="00DD3C17">
              <w:rPr>
                <w:rFonts w:ascii="Arial" w:eastAsia="Times New Roman" w:hAnsi="Arial" w:cs="Arial"/>
                <w:sz w:val="16"/>
                <w:szCs w:val="16"/>
                <w:lang w:eastAsia="es-CO"/>
              </w:rPr>
              <w:br/>
              <w:t>734/2015</w:t>
            </w:r>
            <w:r w:rsidRPr="00DD3C17">
              <w:rPr>
                <w:rFonts w:ascii="Arial" w:eastAsia="Times New Roman" w:hAnsi="Arial" w:cs="Arial"/>
                <w:sz w:val="16"/>
                <w:szCs w:val="16"/>
                <w:lang w:eastAsia="es-CO"/>
              </w:rPr>
              <w:br/>
              <w:t>764/2015</w:t>
            </w:r>
            <w:r w:rsidRPr="00DD3C17">
              <w:rPr>
                <w:rFonts w:ascii="Arial" w:eastAsia="Times New Roman" w:hAnsi="Arial" w:cs="Arial"/>
                <w:sz w:val="16"/>
                <w:szCs w:val="16"/>
                <w:lang w:eastAsia="es-CO"/>
              </w:rPr>
              <w:br/>
              <w:t>765/2015</w:t>
            </w:r>
            <w:r w:rsidRPr="00DD3C17">
              <w:rPr>
                <w:rFonts w:ascii="Arial" w:eastAsia="Times New Roman" w:hAnsi="Arial" w:cs="Arial"/>
                <w:sz w:val="16"/>
                <w:szCs w:val="16"/>
                <w:lang w:eastAsia="es-CO"/>
              </w:rPr>
              <w:br/>
              <w:t>852/2015</w:t>
            </w:r>
            <w:r w:rsidRPr="00DD3C17">
              <w:rPr>
                <w:rFonts w:ascii="Arial" w:eastAsia="Times New Roman" w:hAnsi="Arial" w:cs="Arial"/>
                <w:sz w:val="16"/>
                <w:szCs w:val="16"/>
                <w:lang w:eastAsia="es-CO"/>
              </w:rPr>
              <w:br/>
              <w:t>850/2015</w:t>
            </w:r>
            <w:r w:rsidRPr="00DD3C17">
              <w:rPr>
                <w:rFonts w:ascii="Arial" w:eastAsia="Times New Roman" w:hAnsi="Arial" w:cs="Arial"/>
                <w:sz w:val="16"/>
                <w:szCs w:val="16"/>
                <w:lang w:eastAsia="es-CO"/>
              </w:rPr>
              <w:br/>
              <w:t>893/2015</w:t>
            </w:r>
            <w:r w:rsidRPr="00DD3C17">
              <w:rPr>
                <w:rFonts w:ascii="Arial" w:eastAsia="Times New Roman" w:hAnsi="Arial" w:cs="Arial"/>
                <w:sz w:val="16"/>
                <w:szCs w:val="16"/>
                <w:lang w:eastAsia="es-CO"/>
              </w:rPr>
              <w:br/>
              <w:t>945/2015</w:t>
            </w:r>
            <w:r w:rsidRPr="00DD3C17">
              <w:rPr>
                <w:rFonts w:ascii="Arial" w:eastAsia="Times New Roman" w:hAnsi="Arial" w:cs="Arial"/>
                <w:sz w:val="16"/>
                <w:szCs w:val="16"/>
                <w:lang w:eastAsia="es-CO"/>
              </w:rPr>
              <w:br/>
              <w:t>1012/2015</w:t>
            </w:r>
            <w:r w:rsidRPr="00DD3C17">
              <w:rPr>
                <w:rFonts w:ascii="Arial" w:eastAsia="Times New Roman" w:hAnsi="Arial" w:cs="Arial"/>
                <w:sz w:val="16"/>
                <w:szCs w:val="16"/>
                <w:lang w:eastAsia="es-CO"/>
              </w:rPr>
              <w:br/>
              <w:t>1042/2015</w:t>
            </w:r>
            <w:r w:rsidRPr="00DD3C17">
              <w:rPr>
                <w:rFonts w:ascii="Arial" w:eastAsia="Times New Roman" w:hAnsi="Arial" w:cs="Arial"/>
                <w:sz w:val="16"/>
                <w:szCs w:val="16"/>
                <w:lang w:eastAsia="es-CO"/>
              </w:rPr>
              <w:br/>
              <w:t>1138/2015</w:t>
            </w:r>
            <w:r w:rsidRPr="00DD3C17">
              <w:rPr>
                <w:rFonts w:ascii="Arial" w:eastAsia="Times New Roman" w:hAnsi="Arial" w:cs="Arial"/>
                <w:sz w:val="16"/>
                <w:szCs w:val="16"/>
                <w:lang w:eastAsia="es-CO"/>
              </w:rPr>
              <w:br/>
              <w:t>1139/2015</w:t>
            </w:r>
            <w:r w:rsidRPr="00DD3C17">
              <w:rPr>
                <w:rFonts w:ascii="Arial" w:eastAsia="Times New Roman" w:hAnsi="Arial" w:cs="Arial"/>
                <w:sz w:val="16"/>
                <w:szCs w:val="16"/>
                <w:lang w:eastAsia="es-CO"/>
              </w:rPr>
              <w:br/>
              <w:t>1162/2015</w:t>
            </w:r>
            <w:r w:rsidRPr="00DD3C17">
              <w:rPr>
                <w:rFonts w:ascii="Arial" w:eastAsia="Times New Roman" w:hAnsi="Arial" w:cs="Arial"/>
                <w:sz w:val="16"/>
                <w:szCs w:val="16"/>
                <w:lang w:eastAsia="es-CO"/>
              </w:rPr>
              <w:br/>
              <w:t>1156/2015</w:t>
            </w:r>
            <w:r w:rsidRPr="00DD3C17">
              <w:rPr>
                <w:rFonts w:ascii="Arial" w:eastAsia="Times New Roman" w:hAnsi="Arial" w:cs="Arial"/>
                <w:sz w:val="16"/>
                <w:szCs w:val="16"/>
                <w:lang w:eastAsia="es-CO"/>
              </w:rPr>
              <w:br/>
              <w:t>1260/2015</w:t>
            </w:r>
            <w:r w:rsidRPr="00DD3C17">
              <w:rPr>
                <w:rFonts w:ascii="Arial" w:eastAsia="Times New Roman" w:hAnsi="Arial" w:cs="Arial"/>
                <w:sz w:val="16"/>
                <w:szCs w:val="16"/>
                <w:lang w:eastAsia="es-CO"/>
              </w:rPr>
              <w:br/>
              <w:t>1383/2015</w:t>
            </w:r>
            <w:r w:rsidRPr="00DD3C17">
              <w:rPr>
                <w:rFonts w:ascii="Arial" w:eastAsia="Times New Roman" w:hAnsi="Arial" w:cs="Arial"/>
                <w:sz w:val="16"/>
                <w:szCs w:val="16"/>
                <w:lang w:eastAsia="es-CO"/>
              </w:rPr>
              <w:br/>
              <w:t>1429/2015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1830"/>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Hacer seguimiento y control al 100% de los sitios autorizados para disposición final de escombros</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Durante cada mes del año 2015 se realizó una visita  técnica de seguimiento al sitio de disposición final de RCD Cantarrana el cual es el único en el Distrito Capital con aprobación de la Secretaria Distrital de Ambiente (Resolución 1019 del 2011).</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892/2015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5085"/>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Realizar visitas de evaluación control y seguimiento a obras mayores a 5000 m2 en Bogotá,  y verificar el cumplimiento al plan de gestión de RCD, generar el respectivo soporte técnico conforme a la normatividad vigente.</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A 31 de Diciembre de 2015 se realizaron 1428 visitas de control y seguimiento a obras públicas y privadas dentro del perímetro urbano del Distrito Capital, el cual se exigen los requerimientos estipulados en la Resolución 01115 y la Guía de Manejo Ambiental para el sector de la construcción. </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01/2015</w:t>
            </w:r>
            <w:r w:rsidRPr="00DD3C17">
              <w:rPr>
                <w:rFonts w:ascii="Arial" w:eastAsia="Times New Roman" w:hAnsi="Arial" w:cs="Arial"/>
                <w:sz w:val="16"/>
                <w:szCs w:val="16"/>
                <w:lang w:eastAsia="es-CO"/>
              </w:rPr>
              <w:br/>
              <w:t>65/2015</w:t>
            </w:r>
            <w:r w:rsidRPr="00DD3C17">
              <w:rPr>
                <w:rFonts w:ascii="Arial" w:eastAsia="Times New Roman" w:hAnsi="Arial" w:cs="Arial"/>
                <w:sz w:val="16"/>
                <w:szCs w:val="16"/>
                <w:lang w:eastAsia="es-CO"/>
              </w:rPr>
              <w:br/>
              <w:t>81/2015</w:t>
            </w:r>
            <w:r w:rsidRPr="00DD3C17">
              <w:rPr>
                <w:rFonts w:ascii="Arial" w:eastAsia="Times New Roman" w:hAnsi="Arial" w:cs="Arial"/>
                <w:sz w:val="16"/>
                <w:szCs w:val="16"/>
                <w:lang w:eastAsia="es-CO"/>
              </w:rPr>
              <w:br/>
              <w:t>101/2015</w:t>
            </w:r>
            <w:r w:rsidRPr="00DD3C17">
              <w:rPr>
                <w:rFonts w:ascii="Arial" w:eastAsia="Times New Roman" w:hAnsi="Arial" w:cs="Arial"/>
                <w:sz w:val="16"/>
                <w:szCs w:val="16"/>
                <w:lang w:eastAsia="es-CO"/>
              </w:rPr>
              <w:br/>
              <w:t>107/2015</w:t>
            </w:r>
            <w:r w:rsidRPr="00DD3C17">
              <w:rPr>
                <w:rFonts w:ascii="Arial" w:eastAsia="Times New Roman" w:hAnsi="Arial" w:cs="Arial"/>
                <w:sz w:val="16"/>
                <w:szCs w:val="16"/>
                <w:lang w:eastAsia="es-CO"/>
              </w:rPr>
              <w:br/>
              <w:t>110/2015</w:t>
            </w:r>
            <w:r w:rsidRPr="00DD3C17">
              <w:rPr>
                <w:rFonts w:ascii="Arial" w:eastAsia="Times New Roman" w:hAnsi="Arial" w:cs="Arial"/>
                <w:sz w:val="16"/>
                <w:szCs w:val="16"/>
                <w:lang w:eastAsia="es-CO"/>
              </w:rPr>
              <w:br/>
              <w:t>114/2015</w:t>
            </w:r>
            <w:r w:rsidRPr="00DD3C17">
              <w:rPr>
                <w:rFonts w:ascii="Arial" w:eastAsia="Times New Roman" w:hAnsi="Arial" w:cs="Arial"/>
                <w:sz w:val="16"/>
                <w:szCs w:val="16"/>
                <w:lang w:eastAsia="es-CO"/>
              </w:rPr>
              <w:br/>
              <w:t>116/2015</w:t>
            </w:r>
            <w:r w:rsidRPr="00DD3C17">
              <w:rPr>
                <w:rFonts w:ascii="Arial" w:eastAsia="Times New Roman" w:hAnsi="Arial" w:cs="Arial"/>
                <w:sz w:val="16"/>
                <w:szCs w:val="16"/>
                <w:lang w:eastAsia="es-CO"/>
              </w:rPr>
              <w:br/>
              <w:t>136/2015</w:t>
            </w:r>
            <w:r w:rsidRPr="00DD3C17">
              <w:rPr>
                <w:rFonts w:ascii="Arial" w:eastAsia="Times New Roman" w:hAnsi="Arial" w:cs="Arial"/>
                <w:sz w:val="16"/>
                <w:szCs w:val="16"/>
                <w:lang w:eastAsia="es-CO"/>
              </w:rPr>
              <w:br/>
              <w:t>139/2015</w:t>
            </w:r>
            <w:r w:rsidRPr="00DD3C17">
              <w:rPr>
                <w:rFonts w:ascii="Arial" w:eastAsia="Times New Roman" w:hAnsi="Arial" w:cs="Arial"/>
                <w:sz w:val="16"/>
                <w:szCs w:val="16"/>
                <w:lang w:eastAsia="es-CO"/>
              </w:rPr>
              <w:br/>
              <w:t>154/2015</w:t>
            </w:r>
            <w:r w:rsidRPr="00DD3C17">
              <w:rPr>
                <w:rFonts w:ascii="Arial" w:eastAsia="Times New Roman" w:hAnsi="Arial" w:cs="Arial"/>
                <w:sz w:val="16"/>
                <w:szCs w:val="16"/>
                <w:lang w:eastAsia="es-CO"/>
              </w:rPr>
              <w:br/>
              <w:t>138/2015</w:t>
            </w:r>
            <w:r w:rsidRPr="00DD3C17">
              <w:rPr>
                <w:rFonts w:ascii="Arial" w:eastAsia="Times New Roman" w:hAnsi="Arial" w:cs="Arial"/>
                <w:sz w:val="16"/>
                <w:szCs w:val="16"/>
                <w:lang w:eastAsia="es-CO"/>
              </w:rPr>
              <w:br/>
              <w:t>175/2015</w:t>
            </w:r>
            <w:r w:rsidRPr="00DD3C17">
              <w:rPr>
                <w:rFonts w:ascii="Arial" w:eastAsia="Times New Roman" w:hAnsi="Arial" w:cs="Arial"/>
                <w:sz w:val="16"/>
                <w:szCs w:val="16"/>
                <w:lang w:eastAsia="es-CO"/>
              </w:rPr>
              <w:br/>
              <w:t>165/2015</w:t>
            </w:r>
            <w:r w:rsidRPr="00DD3C17">
              <w:rPr>
                <w:rFonts w:ascii="Arial" w:eastAsia="Times New Roman" w:hAnsi="Arial" w:cs="Arial"/>
                <w:sz w:val="16"/>
                <w:szCs w:val="16"/>
                <w:lang w:eastAsia="es-CO"/>
              </w:rPr>
              <w:br/>
              <w:t>200/2015</w:t>
            </w:r>
            <w:r w:rsidRPr="00DD3C17">
              <w:rPr>
                <w:rFonts w:ascii="Arial" w:eastAsia="Times New Roman" w:hAnsi="Arial" w:cs="Arial"/>
                <w:sz w:val="16"/>
                <w:szCs w:val="16"/>
                <w:lang w:eastAsia="es-CO"/>
              </w:rPr>
              <w:br/>
              <w:t>224/2015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231/2015</w:t>
            </w:r>
            <w:r w:rsidRPr="00DD3C17">
              <w:rPr>
                <w:rFonts w:ascii="Arial" w:eastAsia="Times New Roman" w:hAnsi="Arial" w:cs="Arial"/>
                <w:sz w:val="16"/>
                <w:szCs w:val="16"/>
                <w:lang w:eastAsia="es-CO"/>
              </w:rPr>
              <w:br/>
              <w:t>242/2015</w:t>
            </w:r>
            <w:r w:rsidRPr="00DD3C17">
              <w:rPr>
                <w:rFonts w:ascii="Arial" w:eastAsia="Times New Roman" w:hAnsi="Arial" w:cs="Arial"/>
                <w:sz w:val="16"/>
                <w:szCs w:val="16"/>
                <w:lang w:eastAsia="es-CO"/>
              </w:rPr>
              <w:br/>
              <w:t>247/2015</w:t>
            </w:r>
            <w:r w:rsidRPr="00DD3C17">
              <w:rPr>
                <w:rFonts w:ascii="Arial" w:eastAsia="Times New Roman" w:hAnsi="Arial" w:cs="Arial"/>
                <w:sz w:val="16"/>
                <w:szCs w:val="16"/>
                <w:lang w:eastAsia="es-CO"/>
              </w:rPr>
              <w:br/>
              <w:t>255/2015</w:t>
            </w:r>
            <w:r w:rsidRPr="00DD3C17">
              <w:rPr>
                <w:rFonts w:ascii="Arial" w:eastAsia="Times New Roman" w:hAnsi="Arial" w:cs="Arial"/>
                <w:sz w:val="16"/>
                <w:szCs w:val="16"/>
                <w:lang w:eastAsia="es-CO"/>
              </w:rPr>
              <w:br/>
              <w:t>260/2015</w:t>
            </w:r>
            <w:r w:rsidRPr="00DD3C17">
              <w:rPr>
                <w:rFonts w:ascii="Arial" w:eastAsia="Times New Roman" w:hAnsi="Arial" w:cs="Arial"/>
                <w:sz w:val="16"/>
                <w:szCs w:val="16"/>
                <w:lang w:eastAsia="es-CO"/>
              </w:rPr>
              <w:br/>
              <w:t>274/2015</w:t>
            </w:r>
            <w:r w:rsidRPr="00DD3C17">
              <w:rPr>
                <w:rFonts w:ascii="Arial" w:eastAsia="Times New Roman" w:hAnsi="Arial" w:cs="Arial"/>
                <w:sz w:val="16"/>
                <w:szCs w:val="16"/>
                <w:lang w:eastAsia="es-CO"/>
              </w:rPr>
              <w:br/>
              <w:t>278/2015</w:t>
            </w:r>
            <w:r w:rsidRPr="00DD3C17">
              <w:rPr>
                <w:rFonts w:ascii="Arial" w:eastAsia="Times New Roman" w:hAnsi="Arial" w:cs="Arial"/>
                <w:sz w:val="16"/>
                <w:szCs w:val="16"/>
                <w:lang w:eastAsia="es-CO"/>
              </w:rPr>
              <w:br/>
              <w:t>279/2015</w:t>
            </w:r>
            <w:r w:rsidRPr="00DD3C17">
              <w:rPr>
                <w:rFonts w:ascii="Arial" w:eastAsia="Times New Roman" w:hAnsi="Arial" w:cs="Arial"/>
                <w:sz w:val="16"/>
                <w:szCs w:val="16"/>
                <w:lang w:eastAsia="es-CO"/>
              </w:rPr>
              <w:br/>
              <w:t>291/2015</w:t>
            </w:r>
            <w:r w:rsidRPr="00DD3C17">
              <w:rPr>
                <w:rFonts w:ascii="Arial" w:eastAsia="Times New Roman" w:hAnsi="Arial" w:cs="Arial"/>
                <w:sz w:val="16"/>
                <w:szCs w:val="16"/>
                <w:lang w:eastAsia="es-CO"/>
              </w:rPr>
              <w:br/>
              <w:t>302/2015</w:t>
            </w:r>
            <w:r w:rsidRPr="00DD3C17">
              <w:rPr>
                <w:rFonts w:ascii="Arial" w:eastAsia="Times New Roman" w:hAnsi="Arial" w:cs="Arial"/>
                <w:sz w:val="16"/>
                <w:szCs w:val="16"/>
                <w:lang w:eastAsia="es-CO"/>
              </w:rPr>
              <w:br/>
              <w:t>303/2015</w:t>
            </w:r>
            <w:r w:rsidRPr="00DD3C17">
              <w:rPr>
                <w:rFonts w:ascii="Arial" w:eastAsia="Times New Roman" w:hAnsi="Arial" w:cs="Arial"/>
                <w:sz w:val="16"/>
                <w:szCs w:val="16"/>
                <w:lang w:eastAsia="es-CO"/>
              </w:rPr>
              <w:br/>
              <w:t>312/2015</w:t>
            </w:r>
            <w:r w:rsidRPr="00DD3C17">
              <w:rPr>
                <w:rFonts w:ascii="Arial" w:eastAsia="Times New Roman" w:hAnsi="Arial" w:cs="Arial"/>
                <w:sz w:val="16"/>
                <w:szCs w:val="16"/>
                <w:lang w:eastAsia="es-CO"/>
              </w:rPr>
              <w:br/>
              <w:t>338/2015</w:t>
            </w:r>
            <w:r w:rsidRPr="00DD3C17">
              <w:rPr>
                <w:rFonts w:ascii="Arial" w:eastAsia="Times New Roman" w:hAnsi="Arial" w:cs="Arial"/>
                <w:sz w:val="16"/>
                <w:szCs w:val="16"/>
                <w:lang w:eastAsia="es-CO"/>
              </w:rPr>
              <w:br/>
              <w:t>347/2015</w:t>
            </w:r>
            <w:r w:rsidRPr="00DD3C17">
              <w:rPr>
                <w:rFonts w:ascii="Arial" w:eastAsia="Times New Roman" w:hAnsi="Arial" w:cs="Arial"/>
                <w:sz w:val="16"/>
                <w:szCs w:val="16"/>
                <w:lang w:eastAsia="es-CO"/>
              </w:rPr>
              <w:br/>
              <w:t>350/2015</w:t>
            </w:r>
            <w:r w:rsidRPr="00DD3C17">
              <w:rPr>
                <w:rFonts w:ascii="Arial" w:eastAsia="Times New Roman" w:hAnsi="Arial" w:cs="Arial"/>
                <w:sz w:val="16"/>
                <w:szCs w:val="16"/>
                <w:lang w:eastAsia="es-CO"/>
              </w:rPr>
              <w:br/>
              <w:t>355/2015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544/2015</w:t>
            </w:r>
            <w:r w:rsidRPr="00DD3C17">
              <w:rPr>
                <w:rFonts w:ascii="Arial" w:eastAsia="Times New Roman" w:hAnsi="Arial" w:cs="Arial"/>
                <w:sz w:val="16"/>
                <w:szCs w:val="16"/>
                <w:lang w:eastAsia="es-CO"/>
              </w:rPr>
              <w:br/>
              <w:t>558/2015</w:t>
            </w:r>
            <w:r w:rsidRPr="00DD3C17">
              <w:rPr>
                <w:rFonts w:ascii="Arial" w:eastAsia="Times New Roman" w:hAnsi="Arial" w:cs="Arial"/>
                <w:sz w:val="16"/>
                <w:szCs w:val="16"/>
                <w:lang w:eastAsia="es-CO"/>
              </w:rPr>
              <w:br/>
              <w:t>568/2015</w:t>
            </w:r>
            <w:r w:rsidRPr="00DD3C17">
              <w:rPr>
                <w:rFonts w:ascii="Arial" w:eastAsia="Times New Roman" w:hAnsi="Arial" w:cs="Arial"/>
                <w:sz w:val="16"/>
                <w:szCs w:val="16"/>
                <w:lang w:eastAsia="es-CO"/>
              </w:rPr>
              <w:br/>
              <w:t>585/2015</w:t>
            </w:r>
            <w:r w:rsidRPr="00DD3C17">
              <w:rPr>
                <w:rFonts w:ascii="Arial" w:eastAsia="Times New Roman" w:hAnsi="Arial" w:cs="Arial"/>
                <w:sz w:val="16"/>
                <w:szCs w:val="16"/>
                <w:lang w:eastAsia="es-CO"/>
              </w:rPr>
              <w:br/>
              <w:t>610/2015</w:t>
            </w:r>
            <w:r w:rsidRPr="00DD3C17">
              <w:rPr>
                <w:rFonts w:ascii="Arial" w:eastAsia="Times New Roman" w:hAnsi="Arial" w:cs="Arial"/>
                <w:sz w:val="16"/>
                <w:szCs w:val="16"/>
                <w:lang w:eastAsia="es-CO"/>
              </w:rPr>
              <w:br/>
              <w:t>623/2015</w:t>
            </w:r>
            <w:r w:rsidRPr="00DD3C17">
              <w:rPr>
                <w:rFonts w:ascii="Arial" w:eastAsia="Times New Roman" w:hAnsi="Arial" w:cs="Arial"/>
                <w:sz w:val="16"/>
                <w:szCs w:val="16"/>
                <w:lang w:eastAsia="es-CO"/>
              </w:rPr>
              <w:br/>
              <w:t>634/2015</w:t>
            </w:r>
            <w:r w:rsidRPr="00DD3C17">
              <w:rPr>
                <w:rFonts w:ascii="Arial" w:eastAsia="Times New Roman" w:hAnsi="Arial" w:cs="Arial"/>
                <w:sz w:val="16"/>
                <w:szCs w:val="16"/>
                <w:lang w:eastAsia="es-CO"/>
              </w:rPr>
              <w:br/>
              <w:t>364/2015</w:t>
            </w:r>
            <w:r w:rsidRPr="00DD3C17">
              <w:rPr>
                <w:rFonts w:ascii="Arial" w:eastAsia="Times New Roman" w:hAnsi="Arial" w:cs="Arial"/>
                <w:sz w:val="16"/>
                <w:szCs w:val="16"/>
                <w:lang w:eastAsia="es-CO"/>
              </w:rPr>
              <w:br/>
              <w:t>365/2015</w:t>
            </w:r>
            <w:r w:rsidRPr="00DD3C17">
              <w:rPr>
                <w:rFonts w:ascii="Arial" w:eastAsia="Times New Roman" w:hAnsi="Arial" w:cs="Arial"/>
                <w:sz w:val="16"/>
                <w:szCs w:val="16"/>
                <w:lang w:eastAsia="es-CO"/>
              </w:rPr>
              <w:br/>
              <w:t>384/2015</w:t>
            </w:r>
            <w:r w:rsidRPr="00DD3C17">
              <w:rPr>
                <w:rFonts w:ascii="Arial" w:eastAsia="Times New Roman" w:hAnsi="Arial" w:cs="Arial"/>
                <w:sz w:val="16"/>
                <w:szCs w:val="16"/>
                <w:lang w:eastAsia="es-CO"/>
              </w:rPr>
              <w:br/>
              <w:t>388/2015</w:t>
            </w:r>
            <w:r w:rsidRPr="00DD3C17">
              <w:rPr>
                <w:rFonts w:ascii="Arial" w:eastAsia="Times New Roman" w:hAnsi="Arial" w:cs="Arial"/>
                <w:sz w:val="16"/>
                <w:szCs w:val="16"/>
                <w:lang w:eastAsia="es-CO"/>
              </w:rPr>
              <w:br/>
              <w:t>408/2015</w:t>
            </w:r>
            <w:r w:rsidRPr="00DD3C17">
              <w:rPr>
                <w:rFonts w:ascii="Arial" w:eastAsia="Times New Roman" w:hAnsi="Arial" w:cs="Arial"/>
                <w:sz w:val="16"/>
                <w:szCs w:val="16"/>
                <w:lang w:eastAsia="es-CO"/>
              </w:rPr>
              <w:br/>
              <w:t>413/2015</w:t>
            </w:r>
            <w:r w:rsidRPr="00DD3C17">
              <w:rPr>
                <w:rFonts w:ascii="Arial" w:eastAsia="Times New Roman" w:hAnsi="Arial" w:cs="Arial"/>
                <w:sz w:val="16"/>
                <w:szCs w:val="16"/>
                <w:lang w:eastAsia="es-CO"/>
              </w:rPr>
              <w:br/>
              <w:t>472/2015</w:t>
            </w:r>
            <w:r w:rsidRPr="00DD3C17">
              <w:rPr>
                <w:rFonts w:ascii="Arial" w:eastAsia="Times New Roman" w:hAnsi="Arial" w:cs="Arial"/>
                <w:sz w:val="16"/>
                <w:szCs w:val="16"/>
                <w:lang w:eastAsia="es-CO"/>
              </w:rPr>
              <w:br/>
              <w:t>495/2015</w:t>
            </w:r>
            <w:r w:rsidRPr="00DD3C17">
              <w:rPr>
                <w:rFonts w:ascii="Arial" w:eastAsia="Times New Roman" w:hAnsi="Arial" w:cs="Arial"/>
                <w:sz w:val="16"/>
                <w:szCs w:val="16"/>
                <w:lang w:eastAsia="es-CO"/>
              </w:rPr>
              <w:br/>
              <w:t>518/2015</w:t>
            </w:r>
          </w:p>
        </w:tc>
        <w:tc>
          <w:tcPr>
            <w:tcW w:w="1063"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649/2015</w:t>
            </w:r>
            <w:r w:rsidRPr="00DD3C17">
              <w:rPr>
                <w:rFonts w:ascii="Arial" w:eastAsia="Times New Roman" w:hAnsi="Arial" w:cs="Arial"/>
                <w:sz w:val="16"/>
                <w:szCs w:val="16"/>
                <w:lang w:eastAsia="es-CO"/>
              </w:rPr>
              <w:br/>
              <w:t>640/2015</w:t>
            </w:r>
            <w:r w:rsidRPr="00DD3C17">
              <w:rPr>
                <w:rFonts w:ascii="Arial" w:eastAsia="Times New Roman" w:hAnsi="Arial" w:cs="Arial"/>
                <w:sz w:val="16"/>
                <w:szCs w:val="16"/>
                <w:lang w:eastAsia="es-CO"/>
              </w:rPr>
              <w:br/>
              <w:t>734/2015</w:t>
            </w:r>
            <w:r w:rsidRPr="00DD3C17">
              <w:rPr>
                <w:rFonts w:ascii="Arial" w:eastAsia="Times New Roman" w:hAnsi="Arial" w:cs="Arial"/>
                <w:sz w:val="16"/>
                <w:szCs w:val="16"/>
                <w:lang w:eastAsia="es-CO"/>
              </w:rPr>
              <w:br/>
              <w:t>764/2015</w:t>
            </w:r>
            <w:r w:rsidRPr="00DD3C17">
              <w:rPr>
                <w:rFonts w:ascii="Arial" w:eastAsia="Times New Roman" w:hAnsi="Arial" w:cs="Arial"/>
                <w:sz w:val="16"/>
                <w:szCs w:val="16"/>
                <w:lang w:eastAsia="es-CO"/>
              </w:rPr>
              <w:br/>
              <w:t>765/2015</w:t>
            </w:r>
            <w:r w:rsidRPr="00DD3C17">
              <w:rPr>
                <w:rFonts w:ascii="Arial" w:eastAsia="Times New Roman" w:hAnsi="Arial" w:cs="Arial"/>
                <w:sz w:val="16"/>
                <w:szCs w:val="16"/>
                <w:lang w:eastAsia="es-CO"/>
              </w:rPr>
              <w:br/>
              <w:t>852/2015</w:t>
            </w:r>
            <w:r w:rsidRPr="00DD3C17">
              <w:rPr>
                <w:rFonts w:ascii="Arial" w:eastAsia="Times New Roman" w:hAnsi="Arial" w:cs="Arial"/>
                <w:sz w:val="16"/>
                <w:szCs w:val="16"/>
                <w:lang w:eastAsia="es-CO"/>
              </w:rPr>
              <w:br/>
              <w:t>850/2015</w:t>
            </w:r>
            <w:r w:rsidRPr="00DD3C17">
              <w:rPr>
                <w:rFonts w:ascii="Arial" w:eastAsia="Times New Roman" w:hAnsi="Arial" w:cs="Arial"/>
                <w:sz w:val="16"/>
                <w:szCs w:val="16"/>
                <w:lang w:eastAsia="es-CO"/>
              </w:rPr>
              <w:br/>
              <w:t>893/2015</w:t>
            </w:r>
            <w:r w:rsidRPr="00DD3C17">
              <w:rPr>
                <w:rFonts w:ascii="Arial" w:eastAsia="Times New Roman" w:hAnsi="Arial" w:cs="Arial"/>
                <w:sz w:val="16"/>
                <w:szCs w:val="16"/>
                <w:lang w:eastAsia="es-CO"/>
              </w:rPr>
              <w:br/>
              <w:t>945/2015</w:t>
            </w:r>
            <w:r w:rsidRPr="00DD3C17">
              <w:rPr>
                <w:rFonts w:ascii="Arial" w:eastAsia="Times New Roman" w:hAnsi="Arial" w:cs="Arial"/>
                <w:sz w:val="16"/>
                <w:szCs w:val="16"/>
                <w:lang w:eastAsia="es-CO"/>
              </w:rPr>
              <w:br/>
              <w:t>1012/2015</w:t>
            </w:r>
            <w:r w:rsidRPr="00DD3C17">
              <w:rPr>
                <w:rFonts w:ascii="Arial" w:eastAsia="Times New Roman" w:hAnsi="Arial" w:cs="Arial"/>
                <w:sz w:val="16"/>
                <w:szCs w:val="16"/>
                <w:lang w:eastAsia="es-CO"/>
              </w:rPr>
              <w:br/>
              <w:t>1042/2015</w:t>
            </w:r>
            <w:r w:rsidRPr="00DD3C17">
              <w:rPr>
                <w:rFonts w:ascii="Arial" w:eastAsia="Times New Roman" w:hAnsi="Arial" w:cs="Arial"/>
                <w:sz w:val="16"/>
                <w:szCs w:val="16"/>
                <w:lang w:eastAsia="es-CO"/>
              </w:rPr>
              <w:br/>
              <w:t>1138/2015</w:t>
            </w:r>
            <w:r w:rsidRPr="00DD3C17">
              <w:rPr>
                <w:rFonts w:ascii="Arial" w:eastAsia="Times New Roman" w:hAnsi="Arial" w:cs="Arial"/>
                <w:sz w:val="16"/>
                <w:szCs w:val="16"/>
                <w:lang w:eastAsia="es-CO"/>
              </w:rPr>
              <w:br/>
              <w:t>1139/2015</w:t>
            </w:r>
            <w:r w:rsidRPr="00DD3C17">
              <w:rPr>
                <w:rFonts w:ascii="Arial" w:eastAsia="Times New Roman" w:hAnsi="Arial" w:cs="Arial"/>
                <w:sz w:val="16"/>
                <w:szCs w:val="16"/>
                <w:lang w:eastAsia="es-CO"/>
              </w:rPr>
              <w:br/>
              <w:t>1162/2015</w:t>
            </w:r>
            <w:r w:rsidRPr="00DD3C17">
              <w:rPr>
                <w:rFonts w:ascii="Arial" w:eastAsia="Times New Roman" w:hAnsi="Arial" w:cs="Arial"/>
                <w:sz w:val="16"/>
                <w:szCs w:val="16"/>
                <w:lang w:eastAsia="es-CO"/>
              </w:rPr>
              <w:br/>
              <w:t>1156/2015</w:t>
            </w:r>
            <w:r w:rsidRPr="00DD3C17">
              <w:rPr>
                <w:rFonts w:ascii="Arial" w:eastAsia="Times New Roman" w:hAnsi="Arial" w:cs="Arial"/>
                <w:sz w:val="16"/>
                <w:szCs w:val="16"/>
                <w:lang w:eastAsia="es-CO"/>
              </w:rPr>
              <w:br/>
              <w:t>1260/2015</w:t>
            </w:r>
            <w:r w:rsidRPr="00DD3C17">
              <w:rPr>
                <w:rFonts w:ascii="Arial" w:eastAsia="Times New Roman" w:hAnsi="Arial" w:cs="Arial"/>
                <w:sz w:val="16"/>
                <w:szCs w:val="16"/>
                <w:lang w:eastAsia="es-CO"/>
              </w:rPr>
              <w:br/>
              <w:t>1383/2015</w:t>
            </w:r>
            <w:r w:rsidRPr="00DD3C17">
              <w:rPr>
                <w:rFonts w:ascii="Arial" w:eastAsia="Times New Roman" w:hAnsi="Arial" w:cs="Arial"/>
                <w:sz w:val="16"/>
                <w:szCs w:val="16"/>
                <w:lang w:eastAsia="es-CO"/>
              </w:rPr>
              <w:br/>
              <w:t>1429/2015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4665"/>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Adelantar los procesos jurídicos respectivos frente a  posibles incumplimientos.</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Duran</w:t>
            </w:r>
            <w:r>
              <w:rPr>
                <w:rFonts w:ascii="Arial" w:eastAsia="Times New Roman" w:hAnsi="Arial" w:cs="Arial"/>
                <w:sz w:val="16"/>
                <w:szCs w:val="16"/>
                <w:lang w:eastAsia="es-CO"/>
              </w:rPr>
              <w:t xml:space="preserve">te la vigencia 2015, el grupo </w:t>
            </w:r>
            <w:r w:rsidRPr="00DD3C17">
              <w:rPr>
                <w:rFonts w:ascii="Arial" w:eastAsia="Times New Roman" w:hAnsi="Arial" w:cs="Arial"/>
                <w:sz w:val="16"/>
                <w:szCs w:val="16"/>
                <w:lang w:eastAsia="es-CO"/>
              </w:rPr>
              <w:t>jurídico de la SCASP en desarrollo de sus actividades  tramitó 220 actuaciones administrativas  adelantados por el grupo sancionatorios, de ésta forma a  31 de diciembre 2015 se realizaron 220 actos administrativos de procesos sancionatorios con el fin de dar impulso jurídico a los procesos, detallados así: (13) Resoluciones, (77) formulaciones, (130) Autos de inicio.</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01/2015</w:t>
            </w:r>
            <w:r w:rsidRPr="00DD3C17">
              <w:rPr>
                <w:rFonts w:ascii="Arial" w:eastAsia="Times New Roman" w:hAnsi="Arial" w:cs="Arial"/>
                <w:sz w:val="16"/>
                <w:szCs w:val="16"/>
                <w:lang w:eastAsia="es-CO"/>
              </w:rPr>
              <w:br/>
              <w:t>65/2015</w:t>
            </w:r>
            <w:r w:rsidRPr="00DD3C17">
              <w:rPr>
                <w:rFonts w:ascii="Arial" w:eastAsia="Times New Roman" w:hAnsi="Arial" w:cs="Arial"/>
                <w:sz w:val="16"/>
                <w:szCs w:val="16"/>
                <w:lang w:eastAsia="es-CO"/>
              </w:rPr>
              <w:br/>
              <w:t>81/2015</w:t>
            </w:r>
            <w:r w:rsidRPr="00DD3C17">
              <w:rPr>
                <w:rFonts w:ascii="Arial" w:eastAsia="Times New Roman" w:hAnsi="Arial" w:cs="Arial"/>
                <w:sz w:val="16"/>
                <w:szCs w:val="16"/>
                <w:lang w:eastAsia="es-CO"/>
              </w:rPr>
              <w:br/>
              <w:t>101/2015</w:t>
            </w:r>
            <w:r w:rsidRPr="00DD3C17">
              <w:rPr>
                <w:rFonts w:ascii="Arial" w:eastAsia="Times New Roman" w:hAnsi="Arial" w:cs="Arial"/>
                <w:sz w:val="16"/>
                <w:szCs w:val="16"/>
                <w:lang w:eastAsia="es-CO"/>
              </w:rPr>
              <w:br/>
              <w:t>107/2015</w:t>
            </w:r>
            <w:r w:rsidRPr="00DD3C17">
              <w:rPr>
                <w:rFonts w:ascii="Arial" w:eastAsia="Times New Roman" w:hAnsi="Arial" w:cs="Arial"/>
                <w:sz w:val="16"/>
                <w:szCs w:val="16"/>
                <w:lang w:eastAsia="es-CO"/>
              </w:rPr>
              <w:br/>
              <w:t>110/2015</w:t>
            </w:r>
            <w:r w:rsidRPr="00DD3C17">
              <w:rPr>
                <w:rFonts w:ascii="Arial" w:eastAsia="Times New Roman" w:hAnsi="Arial" w:cs="Arial"/>
                <w:sz w:val="16"/>
                <w:szCs w:val="16"/>
                <w:lang w:eastAsia="es-CO"/>
              </w:rPr>
              <w:br/>
              <w:t>114/2015</w:t>
            </w:r>
            <w:r w:rsidRPr="00DD3C17">
              <w:rPr>
                <w:rFonts w:ascii="Arial" w:eastAsia="Times New Roman" w:hAnsi="Arial" w:cs="Arial"/>
                <w:sz w:val="16"/>
                <w:szCs w:val="16"/>
                <w:lang w:eastAsia="es-CO"/>
              </w:rPr>
              <w:br/>
              <w:t>116/2015</w:t>
            </w:r>
            <w:r w:rsidRPr="00DD3C17">
              <w:rPr>
                <w:rFonts w:ascii="Arial" w:eastAsia="Times New Roman" w:hAnsi="Arial" w:cs="Arial"/>
                <w:sz w:val="16"/>
                <w:szCs w:val="16"/>
                <w:lang w:eastAsia="es-CO"/>
              </w:rPr>
              <w:br/>
              <w:t>136/2015</w:t>
            </w:r>
            <w:r w:rsidRPr="00DD3C17">
              <w:rPr>
                <w:rFonts w:ascii="Arial" w:eastAsia="Times New Roman" w:hAnsi="Arial" w:cs="Arial"/>
                <w:sz w:val="16"/>
                <w:szCs w:val="16"/>
                <w:lang w:eastAsia="es-CO"/>
              </w:rPr>
              <w:br/>
              <w:t>139/2015</w:t>
            </w:r>
            <w:r w:rsidRPr="00DD3C17">
              <w:rPr>
                <w:rFonts w:ascii="Arial" w:eastAsia="Times New Roman" w:hAnsi="Arial" w:cs="Arial"/>
                <w:sz w:val="16"/>
                <w:szCs w:val="16"/>
                <w:lang w:eastAsia="es-CO"/>
              </w:rPr>
              <w:br/>
              <w:t>154/2015</w:t>
            </w:r>
            <w:r w:rsidRPr="00DD3C17">
              <w:rPr>
                <w:rFonts w:ascii="Arial" w:eastAsia="Times New Roman" w:hAnsi="Arial" w:cs="Arial"/>
                <w:sz w:val="16"/>
                <w:szCs w:val="16"/>
                <w:lang w:eastAsia="es-CO"/>
              </w:rPr>
              <w:br/>
              <w:t>138/2015</w:t>
            </w:r>
            <w:r w:rsidRPr="00DD3C17">
              <w:rPr>
                <w:rFonts w:ascii="Arial" w:eastAsia="Times New Roman" w:hAnsi="Arial" w:cs="Arial"/>
                <w:sz w:val="16"/>
                <w:szCs w:val="16"/>
                <w:lang w:eastAsia="es-CO"/>
              </w:rPr>
              <w:br/>
              <w:t>175/2015</w:t>
            </w:r>
            <w:r w:rsidRPr="00DD3C17">
              <w:rPr>
                <w:rFonts w:ascii="Arial" w:eastAsia="Times New Roman" w:hAnsi="Arial" w:cs="Arial"/>
                <w:sz w:val="16"/>
                <w:szCs w:val="16"/>
                <w:lang w:eastAsia="es-CO"/>
              </w:rPr>
              <w:br/>
              <w:t>165/2015</w:t>
            </w:r>
            <w:r w:rsidRPr="00DD3C17">
              <w:rPr>
                <w:rFonts w:ascii="Arial" w:eastAsia="Times New Roman" w:hAnsi="Arial" w:cs="Arial"/>
                <w:sz w:val="16"/>
                <w:szCs w:val="16"/>
                <w:lang w:eastAsia="es-CO"/>
              </w:rPr>
              <w:br/>
              <w:t>200/2015</w:t>
            </w:r>
            <w:r w:rsidRPr="00DD3C17">
              <w:rPr>
                <w:rFonts w:ascii="Arial" w:eastAsia="Times New Roman" w:hAnsi="Arial" w:cs="Arial"/>
                <w:sz w:val="16"/>
                <w:szCs w:val="16"/>
                <w:lang w:eastAsia="es-CO"/>
              </w:rPr>
              <w:br/>
              <w:t>224/2015</w:t>
            </w:r>
            <w:r w:rsidRPr="00DD3C17">
              <w:rPr>
                <w:rFonts w:ascii="Arial" w:eastAsia="Times New Roman" w:hAnsi="Arial" w:cs="Arial"/>
                <w:sz w:val="16"/>
                <w:szCs w:val="16"/>
                <w:lang w:eastAsia="es-CO"/>
              </w:rPr>
              <w:br/>
              <w:t>231/2015</w:t>
            </w:r>
          </w:p>
        </w:tc>
        <w:tc>
          <w:tcPr>
            <w:tcW w:w="971" w:type="dxa"/>
            <w:shd w:val="clear" w:color="auto" w:fill="auto"/>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242/2015</w:t>
            </w:r>
            <w:r w:rsidRPr="00DD3C17">
              <w:rPr>
                <w:rFonts w:ascii="Arial" w:eastAsia="Times New Roman" w:hAnsi="Arial" w:cs="Arial"/>
                <w:sz w:val="16"/>
                <w:szCs w:val="16"/>
                <w:lang w:eastAsia="es-CO"/>
              </w:rPr>
              <w:br/>
              <w:t>247/2015</w:t>
            </w:r>
            <w:r w:rsidRPr="00DD3C17">
              <w:rPr>
                <w:rFonts w:ascii="Arial" w:eastAsia="Times New Roman" w:hAnsi="Arial" w:cs="Arial"/>
                <w:sz w:val="16"/>
                <w:szCs w:val="16"/>
                <w:lang w:eastAsia="es-CO"/>
              </w:rPr>
              <w:br/>
              <w:t>255/2015</w:t>
            </w:r>
            <w:r w:rsidRPr="00DD3C17">
              <w:rPr>
                <w:rFonts w:ascii="Arial" w:eastAsia="Times New Roman" w:hAnsi="Arial" w:cs="Arial"/>
                <w:sz w:val="16"/>
                <w:szCs w:val="16"/>
                <w:lang w:eastAsia="es-CO"/>
              </w:rPr>
              <w:br/>
              <w:t>260/2015</w:t>
            </w:r>
            <w:r w:rsidRPr="00DD3C17">
              <w:rPr>
                <w:rFonts w:ascii="Arial" w:eastAsia="Times New Roman" w:hAnsi="Arial" w:cs="Arial"/>
                <w:sz w:val="16"/>
                <w:szCs w:val="16"/>
                <w:lang w:eastAsia="es-CO"/>
              </w:rPr>
              <w:br/>
              <w:t>274/2015</w:t>
            </w:r>
            <w:r w:rsidRPr="00DD3C17">
              <w:rPr>
                <w:rFonts w:ascii="Arial" w:eastAsia="Times New Roman" w:hAnsi="Arial" w:cs="Arial"/>
                <w:sz w:val="16"/>
                <w:szCs w:val="16"/>
                <w:lang w:eastAsia="es-CO"/>
              </w:rPr>
              <w:br/>
              <w:t>278/2015</w:t>
            </w:r>
            <w:r w:rsidRPr="00DD3C17">
              <w:rPr>
                <w:rFonts w:ascii="Arial" w:eastAsia="Times New Roman" w:hAnsi="Arial" w:cs="Arial"/>
                <w:sz w:val="16"/>
                <w:szCs w:val="16"/>
                <w:lang w:eastAsia="es-CO"/>
              </w:rPr>
              <w:br/>
              <w:t>279/2015</w:t>
            </w:r>
            <w:r w:rsidRPr="00DD3C17">
              <w:rPr>
                <w:rFonts w:ascii="Arial" w:eastAsia="Times New Roman" w:hAnsi="Arial" w:cs="Arial"/>
                <w:sz w:val="16"/>
                <w:szCs w:val="16"/>
                <w:lang w:eastAsia="es-CO"/>
              </w:rPr>
              <w:br/>
              <w:t>291/2015</w:t>
            </w:r>
            <w:r w:rsidRPr="00DD3C17">
              <w:rPr>
                <w:rFonts w:ascii="Arial" w:eastAsia="Times New Roman" w:hAnsi="Arial" w:cs="Arial"/>
                <w:sz w:val="16"/>
                <w:szCs w:val="16"/>
                <w:lang w:eastAsia="es-CO"/>
              </w:rPr>
              <w:br/>
              <w:t>302/2015</w:t>
            </w:r>
            <w:r w:rsidRPr="00DD3C17">
              <w:rPr>
                <w:rFonts w:ascii="Arial" w:eastAsia="Times New Roman" w:hAnsi="Arial" w:cs="Arial"/>
                <w:sz w:val="16"/>
                <w:szCs w:val="16"/>
                <w:lang w:eastAsia="es-CO"/>
              </w:rPr>
              <w:br/>
              <w:t>303/2015</w:t>
            </w:r>
            <w:r w:rsidRPr="00DD3C17">
              <w:rPr>
                <w:rFonts w:ascii="Arial" w:eastAsia="Times New Roman" w:hAnsi="Arial" w:cs="Arial"/>
                <w:sz w:val="16"/>
                <w:szCs w:val="16"/>
                <w:lang w:eastAsia="es-CO"/>
              </w:rPr>
              <w:br/>
              <w:t>312/2015</w:t>
            </w:r>
            <w:r w:rsidRPr="00DD3C17">
              <w:rPr>
                <w:rFonts w:ascii="Arial" w:eastAsia="Times New Roman" w:hAnsi="Arial" w:cs="Arial"/>
                <w:sz w:val="16"/>
                <w:szCs w:val="16"/>
                <w:lang w:eastAsia="es-CO"/>
              </w:rPr>
              <w:br/>
              <w:t>338/2015</w:t>
            </w:r>
            <w:r w:rsidRPr="00DD3C17">
              <w:rPr>
                <w:rFonts w:ascii="Arial" w:eastAsia="Times New Roman" w:hAnsi="Arial" w:cs="Arial"/>
                <w:sz w:val="16"/>
                <w:szCs w:val="16"/>
                <w:lang w:eastAsia="es-CO"/>
              </w:rPr>
              <w:br/>
              <w:t>347/2015</w:t>
            </w:r>
            <w:r w:rsidRPr="00DD3C17">
              <w:rPr>
                <w:rFonts w:ascii="Arial" w:eastAsia="Times New Roman" w:hAnsi="Arial" w:cs="Arial"/>
                <w:sz w:val="16"/>
                <w:szCs w:val="16"/>
                <w:lang w:eastAsia="es-CO"/>
              </w:rPr>
              <w:br/>
              <w:t>350/2015</w:t>
            </w:r>
            <w:r w:rsidRPr="00DD3C17">
              <w:rPr>
                <w:rFonts w:ascii="Arial" w:eastAsia="Times New Roman" w:hAnsi="Arial" w:cs="Arial"/>
                <w:sz w:val="16"/>
                <w:szCs w:val="16"/>
                <w:lang w:eastAsia="es-CO"/>
              </w:rPr>
              <w:br/>
              <w:t>355/2015</w:t>
            </w:r>
            <w:r w:rsidRPr="00DD3C17">
              <w:rPr>
                <w:rFonts w:ascii="Arial" w:eastAsia="Times New Roman" w:hAnsi="Arial" w:cs="Arial"/>
                <w:sz w:val="16"/>
                <w:szCs w:val="16"/>
                <w:lang w:eastAsia="es-CO"/>
              </w:rPr>
              <w:br/>
              <w:t>364/2015</w:t>
            </w:r>
            <w:r w:rsidRPr="00DD3C17">
              <w:rPr>
                <w:rFonts w:ascii="Arial" w:eastAsia="Times New Roman" w:hAnsi="Arial" w:cs="Arial"/>
                <w:sz w:val="16"/>
                <w:szCs w:val="16"/>
                <w:lang w:eastAsia="es-CO"/>
              </w:rPr>
              <w:br/>
              <w:t>365/2015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384/2015</w:t>
            </w:r>
            <w:r w:rsidRPr="00DD3C17">
              <w:rPr>
                <w:rFonts w:ascii="Arial" w:eastAsia="Times New Roman" w:hAnsi="Arial" w:cs="Arial"/>
                <w:sz w:val="16"/>
                <w:szCs w:val="16"/>
                <w:lang w:eastAsia="es-CO"/>
              </w:rPr>
              <w:br/>
              <w:t>388/2015</w:t>
            </w:r>
            <w:r w:rsidRPr="00DD3C17">
              <w:rPr>
                <w:rFonts w:ascii="Arial" w:eastAsia="Times New Roman" w:hAnsi="Arial" w:cs="Arial"/>
                <w:sz w:val="16"/>
                <w:szCs w:val="16"/>
                <w:lang w:eastAsia="es-CO"/>
              </w:rPr>
              <w:br/>
              <w:t>408/2015</w:t>
            </w:r>
            <w:r w:rsidRPr="00DD3C17">
              <w:rPr>
                <w:rFonts w:ascii="Arial" w:eastAsia="Times New Roman" w:hAnsi="Arial" w:cs="Arial"/>
                <w:sz w:val="16"/>
                <w:szCs w:val="16"/>
                <w:lang w:eastAsia="es-CO"/>
              </w:rPr>
              <w:br/>
              <w:t>413/2015</w:t>
            </w:r>
            <w:r w:rsidRPr="00DD3C17">
              <w:rPr>
                <w:rFonts w:ascii="Arial" w:eastAsia="Times New Roman" w:hAnsi="Arial" w:cs="Arial"/>
                <w:sz w:val="16"/>
                <w:szCs w:val="16"/>
                <w:lang w:eastAsia="es-CO"/>
              </w:rPr>
              <w:br/>
              <w:t>472/2015</w:t>
            </w:r>
            <w:r w:rsidRPr="00DD3C17">
              <w:rPr>
                <w:rFonts w:ascii="Arial" w:eastAsia="Times New Roman" w:hAnsi="Arial" w:cs="Arial"/>
                <w:sz w:val="16"/>
                <w:szCs w:val="16"/>
                <w:lang w:eastAsia="es-CO"/>
              </w:rPr>
              <w:br/>
              <w:t>495/2015</w:t>
            </w:r>
            <w:r w:rsidRPr="00DD3C17">
              <w:rPr>
                <w:rFonts w:ascii="Arial" w:eastAsia="Times New Roman" w:hAnsi="Arial" w:cs="Arial"/>
                <w:sz w:val="16"/>
                <w:szCs w:val="16"/>
                <w:lang w:eastAsia="es-CO"/>
              </w:rPr>
              <w:br/>
              <w:t>518/2015</w:t>
            </w:r>
            <w:r w:rsidRPr="00DD3C17">
              <w:rPr>
                <w:rFonts w:ascii="Arial" w:eastAsia="Times New Roman" w:hAnsi="Arial" w:cs="Arial"/>
                <w:sz w:val="16"/>
                <w:szCs w:val="16"/>
                <w:lang w:eastAsia="es-CO"/>
              </w:rPr>
              <w:br/>
              <w:t>544/2015</w:t>
            </w:r>
            <w:r w:rsidRPr="00DD3C17">
              <w:rPr>
                <w:rFonts w:ascii="Arial" w:eastAsia="Times New Roman" w:hAnsi="Arial" w:cs="Arial"/>
                <w:sz w:val="16"/>
                <w:szCs w:val="16"/>
                <w:lang w:eastAsia="es-CO"/>
              </w:rPr>
              <w:br/>
              <w:t>558/2015</w:t>
            </w:r>
            <w:r w:rsidRPr="00DD3C17">
              <w:rPr>
                <w:rFonts w:ascii="Arial" w:eastAsia="Times New Roman" w:hAnsi="Arial" w:cs="Arial"/>
                <w:sz w:val="16"/>
                <w:szCs w:val="16"/>
                <w:lang w:eastAsia="es-CO"/>
              </w:rPr>
              <w:br/>
              <w:t>568/2015</w:t>
            </w:r>
            <w:r w:rsidRPr="00DD3C17">
              <w:rPr>
                <w:rFonts w:ascii="Arial" w:eastAsia="Times New Roman" w:hAnsi="Arial" w:cs="Arial"/>
                <w:sz w:val="16"/>
                <w:szCs w:val="16"/>
                <w:lang w:eastAsia="es-CO"/>
              </w:rPr>
              <w:br/>
              <w:t>585/2015</w:t>
            </w:r>
            <w:r w:rsidRPr="00DD3C17">
              <w:rPr>
                <w:rFonts w:ascii="Arial" w:eastAsia="Times New Roman" w:hAnsi="Arial" w:cs="Arial"/>
                <w:sz w:val="16"/>
                <w:szCs w:val="16"/>
                <w:lang w:eastAsia="es-CO"/>
              </w:rPr>
              <w:br/>
              <w:t>610/2015</w:t>
            </w:r>
            <w:r w:rsidRPr="00DD3C17">
              <w:rPr>
                <w:rFonts w:ascii="Arial" w:eastAsia="Times New Roman" w:hAnsi="Arial" w:cs="Arial"/>
                <w:sz w:val="16"/>
                <w:szCs w:val="16"/>
                <w:lang w:eastAsia="es-CO"/>
              </w:rPr>
              <w:br/>
              <w:t>623/2015</w:t>
            </w:r>
            <w:r w:rsidRPr="00DD3C17">
              <w:rPr>
                <w:rFonts w:ascii="Arial" w:eastAsia="Times New Roman" w:hAnsi="Arial" w:cs="Arial"/>
                <w:sz w:val="16"/>
                <w:szCs w:val="16"/>
                <w:lang w:eastAsia="es-CO"/>
              </w:rPr>
              <w:br/>
              <w:t>634/2015</w:t>
            </w:r>
            <w:r w:rsidRPr="00DD3C17">
              <w:rPr>
                <w:rFonts w:ascii="Arial" w:eastAsia="Times New Roman" w:hAnsi="Arial" w:cs="Arial"/>
                <w:sz w:val="16"/>
                <w:szCs w:val="16"/>
                <w:lang w:eastAsia="es-CO"/>
              </w:rPr>
              <w:br/>
              <w:t>649/2015</w:t>
            </w:r>
            <w:r w:rsidRPr="00DD3C17">
              <w:rPr>
                <w:rFonts w:ascii="Arial" w:eastAsia="Times New Roman" w:hAnsi="Arial" w:cs="Arial"/>
                <w:sz w:val="16"/>
                <w:szCs w:val="16"/>
                <w:lang w:eastAsia="es-CO"/>
              </w:rPr>
              <w:br/>
              <w:t>640/2015</w:t>
            </w:r>
            <w:r w:rsidRPr="00DD3C17">
              <w:rPr>
                <w:rFonts w:ascii="Arial" w:eastAsia="Times New Roman" w:hAnsi="Arial" w:cs="Arial"/>
                <w:sz w:val="16"/>
                <w:szCs w:val="16"/>
                <w:lang w:eastAsia="es-CO"/>
              </w:rPr>
              <w:br/>
              <w:t>734/2015</w:t>
            </w:r>
          </w:p>
        </w:tc>
        <w:tc>
          <w:tcPr>
            <w:tcW w:w="1063"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764/2015</w:t>
            </w:r>
            <w:r w:rsidRPr="00DD3C17">
              <w:rPr>
                <w:rFonts w:ascii="Arial" w:eastAsia="Times New Roman" w:hAnsi="Arial" w:cs="Arial"/>
                <w:sz w:val="16"/>
                <w:szCs w:val="16"/>
                <w:lang w:eastAsia="es-CO"/>
              </w:rPr>
              <w:br/>
              <w:t>765/2015</w:t>
            </w:r>
            <w:r w:rsidRPr="00DD3C17">
              <w:rPr>
                <w:rFonts w:ascii="Arial" w:eastAsia="Times New Roman" w:hAnsi="Arial" w:cs="Arial"/>
                <w:sz w:val="16"/>
                <w:szCs w:val="16"/>
                <w:lang w:eastAsia="es-CO"/>
              </w:rPr>
              <w:br/>
              <w:t>852/2015</w:t>
            </w:r>
            <w:r w:rsidRPr="00DD3C17">
              <w:rPr>
                <w:rFonts w:ascii="Arial" w:eastAsia="Times New Roman" w:hAnsi="Arial" w:cs="Arial"/>
                <w:sz w:val="16"/>
                <w:szCs w:val="16"/>
                <w:lang w:eastAsia="es-CO"/>
              </w:rPr>
              <w:br/>
              <w:t>850/2015</w:t>
            </w:r>
            <w:r w:rsidRPr="00DD3C17">
              <w:rPr>
                <w:rFonts w:ascii="Arial" w:eastAsia="Times New Roman" w:hAnsi="Arial" w:cs="Arial"/>
                <w:sz w:val="16"/>
                <w:szCs w:val="16"/>
                <w:lang w:eastAsia="es-CO"/>
              </w:rPr>
              <w:br/>
              <w:t>893/2015</w:t>
            </w:r>
            <w:r w:rsidRPr="00DD3C17">
              <w:rPr>
                <w:rFonts w:ascii="Arial" w:eastAsia="Times New Roman" w:hAnsi="Arial" w:cs="Arial"/>
                <w:sz w:val="16"/>
                <w:szCs w:val="16"/>
                <w:lang w:eastAsia="es-CO"/>
              </w:rPr>
              <w:br/>
              <w:t>945/2015</w:t>
            </w:r>
            <w:r w:rsidRPr="00DD3C17">
              <w:rPr>
                <w:rFonts w:ascii="Arial" w:eastAsia="Times New Roman" w:hAnsi="Arial" w:cs="Arial"/>
                <w:sz w:val="16"/>
                <w:szCs w:val="16"/>
                <w:lang w:eastAsia="es-CO"/>
              </w:rPr>
              <w:br/>
              <w:t>1012/2015</w:t>
            </w:r>
            <w:r w:rsidRPr="00DD3C17">
              <w:rPr>
                <w:rFonts w:ascii="Arial" w:eastAsia="Times New Roman" w:hAnsi="Arial" w:cs="Arial"/>
                <w:sz w:val="16"/>
                <w:szCs w:val="16"/>
                <w:lang w:eastAsia="es-CO"/>
              </w:rPr>
              <w:br/>
              <w:t>1042/2015</w:t>
            </w:r>
            <w:r w:rsidRPr="00DD3C17">
              <w:rPr>
                <w:rFonts w:ascii="Arial" w:eastAsia="Times New Roman" w:hAnsi="Arial" w:cs="Arial"/>
                <w:sz w:val="16"/>
                <w:szCs w:val="16"/>
                <w:lang w:eastAsia="es-CO"/>
              </w:rPr>
              <w:br/>
              <w:t>1138/2015</w:t>
            </w:r>
            <w:r w:rsidRPr="00DD3C17">
              <w:rPr>
                <w:rFonts w:ascii="Arial" w:eastAsia="Times New Roman" w:hAnsi="Arial" w:cs="Arial"/>
                <w:sz w:val="16"/>
                <w:szCs w:val="16"/>
                <w:lang w:eastAsia="es-CO"/>
              </w:rPr>
              <w:br/>
              <w:t>1139/2015</w:t>
            </w:r>
            <w:r w:rsidRPr="00DD3C17">
              <w:rPr>
                <w:rFonts w:ascii="Arial" w:eastAsia="Times New Roman" w:hAnsi="Arial" w:cs="Arial"/>
                <w:sz w:val="16"/>
                <w:szCs w:val="16"/>
                <w:lang w:eastAsia="es-CO"/>
              </w:rPr>
              <w:br/>
              <w:t>1162/2015</w:t>
            </w:r>
            <w:r w:rsidRPr="00DD3C17">
              <w:rPr>
                <w:rFonts w:ascii="Arial" w:eastAsia="Times New Roman" w:hAnsi="Arial" w:cs="Arial"/>
                <w:sz w:val="16"/>
                <w:szCs w:val="16"/>
                <w:lang w:eastAsia="es-CO"/>
              </w:rPr>
              <w:br/>
              <w:t>1156/2015</w:t>
            </w:r>
            <w:r w:rsidRPr="00DD3C17">
              <w:rPr>
                <w:rFonts w:ascii="Arial" w:eastAsia="Times New Roman" w:hAnsi="Arial" w:cs="Arial"/>
                <w:sz w:val="16"/>
                <w:szCs w:val="16"/>
                <w:lang w:eastAsia="es-CO"/>
              </w:rPr>
              <w:br/>
              <w:t>1260/2015</w:t>
            </w:r>
            <w:r w:rsidRPr="00DD3C17">
              <w:rPr>
                <w:rFonts w:ascii="Arial" w:eastAsia="Times New Roman" w:hAnsi="Arial" w:cs="Arial"/>
                <w:sz w:val="16"/>
                <w:szCs w:val="16"/>
                <w:lang w:eastAsia="es-CO"/>
              </w:rPr>
              <w:br/>
              <w:t>1383/2015</w:t>
            </w:r>
            <w:r w:rsidRPr="00DD3C17">
              <w:rPr>
                <w:rFonts w:ascii="Arial" w:eastAsia="Times New Roman" w:hAnsi="Arial" w:cs="Arial"/>
                <w:sz w:val="16"/>
                <w:szCs w:val="16"/>
                <w:lang w:eastAsia="es-CO"/>
              </w:rPr>
              <w:br/>
              <w:t>1429/2015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4635"/>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Controlar la disposición adecuada de RCD (Residuos de Construcción y Demolición) generados por obras mayores a 5.000 m2 y mega obras urbanas que causan impactos ambientales en la ciudad, mediante el desarrollo de visitas técnicas, en los sitios autorizados para disposición final.</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Durante la vigencia de  2015 se controló la disposición adecuada de  8.326.626 Toneladas de RCD (Residuos de Construcción y Demolición) generados por obras mayores a 5.000 m2 y mega obras urbanas que causan impactos ambientales en la ciudad, mediante el desarrollo de visitas técnicas por parte de profesionales adscritos a la SCASP, siendo Suba (1.423.000 toneladas), Usaquén (480.258 toneladas), Engativá (358.810 toneladas) y Fontibón (302.574 toneladas) las localidades con mayor control a la generación de RCD en la ciudad.</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Considerando que la meta es creciente se cuenta con un total acumulado en el cuatrienio del 90,98% de avance en la meta Plan de Desarrollo resultante  de  del  control a la disposición adecuada  de  29.113.532Toneladas de escombros en los sitios autorizados para disposición final de escombros y en los frentes de obra mayores a 5000 m2 en Bogotá, que generan impacto ambiental y que son objeto de control por parte de la Secretaría Distrital sobre los 32.000.000 de toneladas establecidas como magnitud total para el cuatrienio.</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01/2015</w:t>
            </w:r>
            <w:r w:rsidRPr="00DD3C17">
              <w:rPr>
                <w:rFonts w:ascii="Arial" w:eastAsia="Times New Roman" w:hAnsi="Arial" w:cs="Arial"/>
                <w:sz w:val="16"/>
                <w:szCs w:val="16"/>
                <w:lang w:eastAsia="es-CO"/>
              </w:rPr>
              <w:br/>
              <w:t>65/2015</w:t>
            </w:r>
            <w:r w:rsidRPr="00DD3C17">
              <w:rPr>
                <w:rFonts w:ascii="Arial" w:eastAsia="Times New Roman" w:hAnsi="Arial" w:cs="Arial"/>
                <w:sz w:val="16"/>
                <w:szCs w:val="16"/>
                <w:lang w:eastAsia="es-CO"/>
              </w:rPr>
              <w:br/>
              <w:t>81/2015</w:t>
            </w:r>
            <w:r w:rsidRPr="00DD3C17">
              <w:rPr>
                <w:rFonts w:ascii="Arial" w:eastAsia="Times New Roman" w:hAnsi="Arial" w:cs="Arial"/>
                <w:sz w:val="16"/>
                <w:szCs w:val="16"/>
                <w:lang w:eastAsia="es-CO"/>
              </w:rPr>
              <w:br/>
              <w:t>101/2015</w:t>
            </w:r>
            <w:r w:rsidRPr="00DD3C17">
              <w:rPr>
                <w:rFonts w:ascii="Arial" w:eastAsia="Times New Roman" w:hAnsi="Arial" w:cs="Arial"/>
                <w:sz w:val="16"/>
                <w:szCs w:val="16"/>
                <w:lang w:eastAsia="es-CO"/>
              </w:rPr>
              <w:br/>
              <w:t>107/2015</w:t>
            </w:r>
            <w:r w:rsidRPr="00DD3C17">
              <w:rPr>
                <w:rFonts w:ascii="Arial" w:eastAsia="Times New Roman" w:hAnsi="Arial" w:cs="Arial"/>
                <w:sz w:val="16"/>
                <w:szCs w:val="16"/>
                <w:lang w:eastAsia="es-CO"/>
              </w:rPr>
              <w:br/>
              <w:t>110/2015</w:t>
            </w:r>
            <w:r w:rsidRPr="00DD3C17">
              <w:rPr>
                <w:rFonts w:ascii="Arial" w:eastAsia="Times New Roman" w:hAnsi="Arial" w:cs="Arial"/>
                <w:sz w:val="16"/>
                <w:szCs w:val="16"/>
                <w:lang w:eastAsia="es-CO"/>
              </w:rPr>
              <w:br/>
              <w:t>114/2015</w:t>
            </w:r>
            <w:r w:rsidRPr="00DD3C17">
              <w:rPr>
                <w:rFonts w:ascii="Arial" w:eastAsia="Times New Roman" w:hAnsi="Arial" w:cs="Arial"/>
                <w:sz w:val="16"/>
                <w:szCs w:val="16"/>
                <w:lang w:eastAsia="es-CO"/>
              </w:rPr>
              <w:br/>
              <w:t>116/2015</w:t>
            </w:r>
            <w:r w:rsidRPr="00DD3C17">
              <w:rPr>
                <w:rFonts w:ascii="Arial" w:eastAsia="Times New Roman" w:hAnsi="Arial" w:cs="Arial"/>
                <w:sz w:val="16"/>
                <w:szCs w:val="16"/>
                <w:lang w:eastAsia="es-CO"/>
              </w:rPr>
              <w:br/>
              <w:t>136/2015</w:t>
            </w:r>
            <w:r w:rsidRPr="00DD3C17">
              <w:rPr>
                <w:rFonts w:ascii="Arial" w:eastAsia="Times New Roman" w:hAnsi="Arial" w:cs="Arial"/>
                <w:sz w:val="16"/>
                <w:szCs w:val="16"/>
                <w:lang w:eastAsia="es-CO"/>
              </w:rPr>
              <w:br/>
              <w:t>139/2015</w:t>
            </w:r>
            <w:r w:rsidRPr="00DD3C17">
              <w:rPr>
                <w:rFonts w:ascii="Arial" w:eastAsia="Times New Roman" w:hAnsi="Arial" w:cs="Arial"/>
                <w:sz w:val="16"/>
                <w:szCs w:val="16"/>
                <w:lang w:eastAsia="es-CO"/>
              </w:rPr>
              <w:br/>
              <w:t>154/2015</w:t>
            </w:r>
            <w:r w:rsidRPr="00DD3C17">
              <w:rPr>
                <w:rFonts w:ascii="Arial" w:eastAsia="Times New Roman" w:hAnsi="Arial" w:cs="Arial"/>
                <w:sz w:val="16"/>
                <w:szCs w:val="16"/>
                <w:lang w:eastAsia="es-CO"/>
              </w:rPr>
              <w:br/>
              <w:t>138/2015</w:t>
            </w:r>
            <w:r w:rsidRPr="00DD3C17">
              <w:rPr>
                <w:rFonts w:ascii="Arial" w:eastAsia="Times New Roman" w:hAnsi="Arial" w:cs="Arial"/>
                <w:sz w:val="16"/>
                <w:szCs w:val="16"/>
                <w:lang w:eastAsia="es-CO"/>
              </w:rPr>
              <w:br/>
              <w:t>175/2015</w:t>
            </w:r>
            <w:r w:rsidRPr="00DD3C17">
              <w:rPr>
                <w:rFonts w:ascii="Arial" w:eastAsia="Times New Roman" w:hAnsi="Arial" w:cs="Arial"/>
                <w:sz w:val="16"/>
                <w:szCs w:val="16"/>
                <w:lang w:eastAsia="es-CO"/>
              </w:rPr>
              <w:br/>
              <w:t>165/2015</w:t>
            </w:r>
            <w:r w:rsidRPr="00DD3C17">
              <w:rPr>
                <w:rFonts w:ascii="Arial" w:eastAsia="Times New Roman" w:hAnsi="Arial" w:cs="Arial"/>
                <w:sz w:val="16"/>
                <w:szCs w:val="16"/>
                <w:lang w:eastAsia="es-CO"/>
              </w:rPr>
              <w:br/>
              <w:t>200/2015</w:t>
            </w:r>
            <w:r w:rsidRPr="00DD3C17">
              <w:rPr>
                <w:rFonts w:ascii="Arial" w:eastAsia="Times New Roman" w:hAnsi="Arial" w:cs="Arial"/>
                <w:sz w:val="16"/>
                <w:szCs w:val="16"/>
                <w:lang w:eastAsia="es-CO"/>
              </w:rPr>
              <w:br/>
              <w:t>224/2015</w:t>
            </w:r>
            <w:r w:rsidRPr="00DD3C17">
              <w:rPr>
                <w:rFonts w:ascii="Arial" w:eastAsia="Times New Roman" w:hAnsi="Arial" w:cs="Arial"/>
                <w:sz w:val="16"/>
                <w:szCs w:val="16"/>
                <w:lang w:eastAsia="es-CO"/>
              </w:rPr>
              <w:br/>
              <w:t>231/2015</w:t>
            </w:r>
            <w:r w:rsidRPr="00DD3C17">
              <w:rPr>
                <w:rFonts w:ascii="Arial" w:eastAsia="Times New Roman" w:hAnsi="Arial" w:cs="Arial"/>
                <w:sz w:val="16"/>
                <w:szCs w:val="16"/>
                <w:lang w:eastAsia="es-CO"/>
              </w:rPr>
              <w:br/>
              <w:t>242/2015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247/2015</w:t>
            </w:r>
            <w:r w:rsidRPr="00DD3C17">
              <w:rPr>
                <w:rFonts w:ascii="Arial" w:eastAsia="Times New Roman" w:hAnsi="Arial" w:cs="Arial"/>
                <w:sz w:val="16"/>
                <w:szCs w:val="16"/>
                <w:lang w:eastAsia="es-CO"/>
              </w:rPr>
              <w:br/>
              <w:t>255/2015</w:t>
            </w:r>
            <w:r w:rsidRPr="00DD3C17">
              <w:rPr>
                <w:rFonts w:ascii="Arial" w:eastAsia="Times New Roman" w:hAnsi="Arial" w:cs="Arial"/>
                <w:sz w:val="16"/>
                <w:szCs w:val="16"/>
                <w:lang w:eastAsia="es-CO"/>
              </w:rPr>
              <w:br/>
              <w:t>260/2015</w:t>
            </w:r>
            <w:r w:rsidRPr="00DD3C17">
              <w:rPr>
                <w:rFonts w:ascii="Arial" w:eastAsia="Times New Roman" w:hAnsi="Arial" w:cs="Arial"/>
                <w:sz w:val="16"/>
                <w:szCs w:val="16"/>
                <w:lang w:eastAsia="es-CO"/>
              </w:rPr>
              <w:br/>
              <w:t>274/2015</w:t>
            </w:r>
            <w:r w:rsidRPr="00DD3C17">
              <w:rPr>
                <w:rFonts w:ascii="Arial" w:eastAsia="Times New Roman" w:hAnsi="Arial" w:cs="Arial"/>
                <w:sz w:val="16"/>
                <w:szCs w:val="16"/>
                <w:lang w:eastAsia="es-CO"/>
              </w:rPr>
              <w:br/>
              <w:t>278/2015</w:t>
            </w:r>
            <w:r w:rsidRPr="00DD3C17">
              <w:rPr>
                <w:rFonts w:ascii="Arial" w:eastAsia="Times New Roman" w:hAnsi="Arial" w:cs="Arial"/>
                <w:sz w:val="16"/>
                <w:szCs w:val="16"/>
                <w:lang w:eastAsia="es-CO"/>
              </w:rPr>
              <w:br/>
              <w:t>279/2015</w:t>
            </w:r>
            <w:r w:rsidRPr="00DD3C17">
              <w:rPr>
                <w:rFonts w:ascii="Arial" w:eastAsia="Times New Roman" w:hAnsi="Arial" w:cs="Arial"/>
                <w:sz w:val="16"/>
                <w:szCs w:val="16"/>
                <w:lang w:eastAsia="es-CO"/>
              </w:rPr>
              <w:br/>
              <w:t>291/2015</w:t>
            </w:r>
            <w:r w:rsidRPr="00DD3C17">
              <w:rPr>
                <w:rFonts w:ascii="Arial" w:eastAsia="Times New Roman" w:hAnsi="Arial" w:cs="Arial"/>
                <w:sz w:val="16"/>
                <w:szCs w:val="16"/>
                <w:lang w:eastAsia="es-CO"/>
              </w:rPr>
              <w:br/>
              <w:t>302/2015</w:t>
            </w:r>
            <w:r w:rsidRPr="00DD3C17">
              <w:rPr>
                <w:rFonts w:ascii="Arial" w:eastAsia="Times New Roman" w:hAnsi="Arial" w:cs="Arial"/>
                <w:sz w:val="16"/>
                <w:szCs w:val="16"/>
                <w:lang w:eastAsia="es-CO"/>
              </w:rPr>
              <w:br/>
              <w:t>303/2015</w:t>
            </w:r>
            <w:r w:rsidRPr="00DD3C17">
              <w:rPr>
                <w:rFonts w:ascii="Arial" w:eastAsia="Times New Roman" w:hAnsi="Arial" w:cs="Arial"/>
                <w:sz w:val="16"/>
                <w:szCs w:val="16"/>
                <w:lang w:eastAsia="es-CO"/>
              </w:rPr>
              <w:br/>
              <w:t>312/2015</w:t>
            </w:r>
            <w:r w:rsidRPr="00DD3C17">
              <w:rPr>
                <w:rFonts w:ascii="Arial" w:eastAsia="Times New Roman" w:hAnsi="Arial" w:cs="Arial"/>
                <w:sz w:val="16"/>
                <w:szCs w:val="16"/>
                <w:lang w:eastAsia="es-CO"/>
              </w:rPr>
              <w:br/>
              <w:t>338/2015</w:t>
            </w:r>
            <w:r w:rsidRPr="00DD3C17">
              <w:rPr>
                <w:rFonts w:ascii="Arial" w:eastAsia="Times New Roman" w:hAnsi="Arial" w:cs="Arial"/>
                <w:sz w:val="16"/>
                <w:szCs w:val="16"/>
                <w:lang w:eastAsia="es-CO"/>
              </w:rPr>
              <w:br/>
              <w:t>347/2015</w:t>
            </w:r>
            <w:r w:rsidRPr="00DD3C17">
              <w:rPr>
                <w:rFonts w:ascii="Arial" w:eastAsia="Times New Roman" w:hAnsi="Arial" w:cs="Arial"/>
                <w:sz w:val="16"/>
                <w:szCs w:val="16"/>
                <w:lang w:eastAsia="es-CO"/>
              </w:rPr>
              <w:br/>
              <w:t>350/2015</w:t>
            </w:r>
            <w:r w:rsidRPr="00DD3C17">
              <w:rPr>
                <w:rFonts w:ascii="Arial" w:eastAsia="Times New Roman" w:hAnsi="Arial" w:cs="Arial"/>
                <w:sz w:val="16"/>
                <w:szCs w:val="16"/>
                <w:lang w:eastAsia="es-CO"/>
              </w:rPr>
              <w:br/>
              <w:t>355/2015</w:t>
            </w:r>
            <w:r w:rsidRPr="00DD3C17">
              <w:rPr>
                <w:rFonts w:ascii="Arial" w:eastAsia="Times New Roman" w:hAnsi="Arial" w:cs="Arial"/>
                <w:sz w:val="16"/>
                <w:szCs w:val="16"/>
                <w:lang w:eastAsia="es-CO"/>
              </w:rPr>
              <w:br/>
              <w:t>364/2015</w:t>
            </w:r>
            <w:r w:rsidRPr="00DD3C17">
              <w:rPr>
                <w:rFonts w:ascii="Arial" w:eastAsia="Times New Roman" w:hAnsi="Arial" w:cs="Arial"/>
                <w:sz w:val="16"/>
                <w:szCs w:val="16"/>
                <w:lang w:eastAsia="es-CO"/>
              </w:rPr>
              <w:br/>
              <w:t>365/2015</w:t>
            </w:r>
          </w:p>
        </w:tc>
        <w:tc>
          <w:tcPr>
            <w:tcW w:w="971"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384/2015</w:t>
            </w:r>
            <w:r w:rsidRPr="00DD3C17">
              <w:rPr>
                <w:rFonts w:ascii="Arial" w:eastAsia="Times New Roman" w:hAnsi="Arial" w:cs="Arial"/>
                <w:sz w:val="16"/>
                <w:szCs w:val="16"/>
                <w:lang w:eastAsia="es-CO"/>
              </w:rPr>
              <w:br/>
              <w:t>388/2015</w:t>
            </w:r>
            <w:r w:rsidRPr="00DD3C17">
              <w:rPr>
                <w:rFonts w:ascii="Arial" w:eastAsia="Times New Roman" w:hAnsi="Arial" w:cs="Arial"/>
                <w:sz w:val="16"/>
                <w:szCs w:val="16"/>
                <w:lang w:eastAsia="es-CO"/>
              </w:rPr>
              <w:br/>
              <w:t>408/2015</w:t>
            </w:r>
            <w:r w:rsidRPr="00DD3C17">
              <w:rPr>
                <w:rFonts w:ascii="Arial" w:eastAsia="Times New Roman" w:hAnsi="Arial" w:cs="Arial"/>
                <w:sz w:val="16"/>
                <w:szCs w:val="16"/>
                <w:lang w:eastAsia="es-CO"/>
              </w:rPr>
              <w:br/>
              <w:t>413/2015</w:t>
            </w:r>
            <w:r w:rsidRPr="00DD3C17">
              <w:rPr>
                <w:rFonts w:ascii="Arial" w:eastAsia="Times New Roman" w:hAnsi="Arial" w:cs="Arial"/>
                <w:sz w:val="16"/>
                <w:szCs w:val="16"/>
                <w:lang w:eastAsia="es-CO"/>
              </w:rPr>
              <w:br/>
              <w:t>472/2015</w:t>
            </w:r>
            <w:r w:rsidRPr="00DD3C17">
              <w:rPr>
                <w:rFonts w:ascii="Arial" w:eastAsia="Times New Roman" w:hAnsi="Arial" w:cs="Arial"/>
                <w:sz w:val="16"/>
                <w:szCs w:val="16"/>
                <w:lang w:eastAsia="es-CO"/>
              </w:rPr>
              <w:br/>
              <w:t>495/2015</w:t>
            </w:r>
            <w:r w:rsidRPr="00DD3C17">
              <w:rPr>
                <w:rFonts w:ascii="Arial" w:eastAsia="Times New Roman" w:hAnsi="Arial" w:cs="Arial"/>
                <w:sz w:val="16"/>
                <w:szCs w:val="16"/>
                <w:lang w:eastAsia="es-CO"/>
              </w:rPr>
              <w:br/>
              <w:t>518/2015</w:t>
            </w:r>
            <w:r w:rsidRPr="00DD3C17">
              <w:rPr>
                <w:rFonts w:ascii="Arial" w:eastAsia="Times New Roman" w:hAnsi="Arial" w:cs="Arial"/>
                <w:sz w:val="16"/>
                <w:szCs w:val="16"/>
                <w:lang w:eastAsia="es-CO"/>
              </w:rPr>
              <w:br/>
              <w:t>544/2015</w:t>
            </w:r>
            <w:r w:rsidRPr="00DD3C17">
              <w:rPr>
                <w:rFonts w:ascii="Arial" w:eastAsia="Times New Roman" w:hAnsi="Arial" w:cs="Arial"/>
                <w:sz w:val="16"/>
                <w:szCs w:val="16"/>
                <w:lang w:eastAsia="es-CO"/>
              </w:rPr>
              <w:br/>
              <w:t>558/2015</w:t>
            </w:r>
            <w:r w:rsidRPr="00DD3C17">
              <w:rPr>
                <w:rFonts w:ascii="Arial" w:eastAsia="Times New Roman" w:hAnsi="Arial" w:cs="Arial"/>
                <w:sz w:val="16"/>
                <w:szCs w:val="16"/>
                <w:lang w:eastAsia="es-CO"/>
              </w:rPr>
              <w:br/>
              <w:t>568/2015</w:t>
            </w:r>
            <w:r w:rsidRPr="00DD3C17">
              <w:rPr>
                <w:rFonts w:ascii="Arial" w:eastAsia="Times New Roman" w:hAnsi="Arial" w:cs="Arial"/>
                <w:sz w:val="16"/>
                <w:szCs w:val="16"/>
                <w:lang w:eastAsia="es-CO"/>
              </w:rPr>
              <w:br/>
              <w:t>585/2015</w:t>
            </w:r>
            <w:r w:rsidRPr="00DD3C17">
              <w:rPr>
                <w:rFonts w:ascii="Arial" w:eastAsia="Times New Roman" w:hAnsi="Arial" w:cs="Arial"/>
                <w:sz w:val="16"/>
                <w:szCs w:val="16"/>
                <w:lang w:eastAsia="es-CO"/>
              </w:rPr>
              <w:br/>
              <w:t>610/2015</w:t>
            </w:r>
            <w:r w:rsidRPr="00DD3C17">
              <w:rPr>
                <w:rFonts w:ascii="Arial" w:eastAsia="Times New Roman" w:hAnsi="Arial" w:cs="Arial"/>
                <w:sz w:val="16"/>
                <w:szCs w:val="16"/>
                <w:lang w:eastAsia="es-CO"/>
              </w:rPr>
              <w:br/>
              <w:t>623/2015</w:t>
            </w:r>
            <w:r w:rsidRPr="00DD3C17">
              <w:rPr>
                <w:rFonts w:ascii="Arial" w:eastAsia="Times New Roman" w:hAnsi="Arial" w:cs="Arial"/>
                <w:sz w:val="16"/>
                <w:szCs w:val="16"/>
                <w:lang w:eastAsia="es-CO"/>
              </w:rPr>
              <w:br/>
              <w:t>634/2015</w:t>
            </w:r>
          </w:p>
        </w:tc>
        <w:tc>
          <w:tcPr>
            <w:tcW w:w="1063"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649/2015</w:t>
            </w:r>
            <w:r w:rsidRPr="00DD3C17">
              <w:rPr>
                <w:rFonts w:ascii="Arial" w:eastAsia="Times New Roman" w:hAnsi="Arial" w:cs="Arial"/>
                <w:sz w:val="16"/>
                <w:szCs w:val="16"/>
                <w:lang w:eastAsia="es-CO"/>
              </w:rPr>
              <w:br/>
              <w:t>640/2015</w:t>
            </w:r>
            <w:r w:rsidRPr="00DD3C17">
              <w:rPr>
                <w:rFonts w:ascii="Arial" w:eastAsia="Times New Roman" w:hAnsi="Arial" w:cs="Arial"/>
                <w:sz w:val="16"/>
                <w:szCs w:val="16"/>
                <w:lang w:eastAsia="es-CO"/>
              </w:rPr>
              <w:br/>
              <w:t>734/2015</w:t>
            </w:r>
            <w:r w:rsidRPr="00DD3C17">
              <w:rPr>
                <w:rFonts w:ascii="Arial" w:eastAsia="Times New Roman" w:hAnsi="Arial" w:cs="Arial"/>
                <w:sz w:val="16"/>
                <w:szCs w:val="16"/>
                <w:lang w:eastAsia="es-CO"/>
              </w:rPr>
              <w:br/>
              <w:t>764/2015</w:t>
            </w:r>
            <w:r w:rsidRPr="00DD3C17">
              <w:rPr>
                <w:rFonts w:ascii="Arial" w:eastAsia="Times New Roman" w:hAnsi="Arial" w:cs="Arial"/>
                <w:sz w:val="16"/>
                <w:szCs w:val="16"/>
                <w:lang w:eastAsia="es-CO"/>
              </w:rPr>
              <w:br/>
              <w:t>765/2015</w:t>
            </w:r>
            <w:r w:rsidRPr="00DD3C17">
              <w:rPr>
                <w:rFonts w:ascii="Arial" w:eastAsia="Times New Roman" w:hAnsi="Arial" w:cs="Arial"/>
                <w:sz w:val="16"/>
                <w:szCs w:val="16"/>
                <w:lang w:eastAsia="es-CO"/>
              </w:rPr>
              <w:br/>
              <w:t>852/2015</w:t>
            </w:r>
            <w:r w:rsidRPr="00DD3C17">
              <w:rPr>
                <w:rFonts w:ascii="Arial" w:eastAsia="Times New Roman" w:hAnsi="Arial" w:cs="Arial"/>
                <w:sz w:val="16"/>
                <w:szCs w:val="16"/>
                <w:lang w:eastAsia="es-CO"/>
              </w:rPr>
              <w:br/>
              <w:t>850/2015</w:t>
            </w:r>
            <w:r w:rsidRPr="00DD3C17">
              <w:rPr>
                <w:rFonts w:ascii="Arial" w:eastAsia="Times New Roman" w:hAnsi="Arial" w:cs="Arial"/>
                <w:sz w:val="16"/>
                <w:szCs w:val="16"/>
                <w:lang w:eastAsia="es-CO"/>
              </w:rPr>
              <w:br/>
              <w:t>893/2015</w:t>
            </w:r>
            <w:r w:rsidRPr="00DD3C17">
              <w:rPr>
                <w:rFonts w:ascii="Arial" w:eastAsia="Times New Roman" w:hAnsi="Arial" w:cs="Arial"/>
                <w:sz w:val="16"/>
                <w:szCs w:val="16"/>
                <w:lang w:eastAsia="es-CO"/>
              </w:rPr>
              <w:br/>
              <w:t>945/2015</w:t>
            </w:r>
            <w:r w:rsidRPr="00DD3C17">
              <w:rPr>
                <w:rFonts w:ascii="Arial" w:eastAsia="Times New Roman" w:hAnsi="Arial" w:cs="Arial"/>
                <w:sz w:val="16"/>
                <w:szCs w:val="16"/>
                <w:lang w:eastAsia="es-CO"/>
              </w:rPr>
              <w:br/>
              <w:t>1012/2015</w:t>
            </w:r>
            <w:r w:rsidRPr="00DD3C17">
              <w:rPr>
                <w:rFonts w:ascii="Arial" w:eastAsia="Times New Roman" w:hAnsi="Arial" w:cs="Arial"/>
                <w:sz w:val="16"/>
                <w:szCs w:val="16"/>
                <w:lang w:eastAsia="es-CO"/>
              </w:rPr>
              <w:br/>
              <w:t>1042/2015</w:t>
            </w:r>
            <w:r w:rsidRPr="00DD3C17">
              <w:rPr>
                <w:rFonts w:ascii="Arial" w:eastAsia="Times New Roman" w:hAnsi="Arial" w:cs="Arial"/>
                <w:sz w:val="16"/>
                <w:szCs w:val="16"/>
                <w:lang w:eastAsia="es-CO"/>
              </w:rPr>
              <w:br/>
              <w:t>1138/2015</w:t>
            </w:r>
            <w:r w:rsidRPr="00DD3C17">
              <w:rPr>
                <w:rFonts w:ascii="Arial" w:eastAsia="Times New Roman" w:hAnsi="Arial" w:cs="Arial"/>
                <w:sz w:val="16"/>
                <w:szCs w:val="16"/>
                <w:lang w:eastAsia="es-CO"/>
              </w:rPr>
              <w:br/>
              <w:t>1139/2015</w:t>
            </w:r>
            <w:r w:rsidRPr="00DD3C17">
              <w:rPr>
                <w:rFonts w:ascii="Arial" w:eastAsia="Times New Roman" w:hAnsi="Arial" w:cs="Arial"/>
                <w:sz w:val="16"/>
                <w:szCs w:val="16"/>
                <w:lang w:eastAsia="es-CO"/>
              </w:rPr>
              <w:br/>
              <w:t>1162/2015</w:t>
            </w:r>
            <w:r w:rsidRPr="00DD3C17">
              <w:rPr>
                <w:rFonts w:ascii="Arial" w:eastAsia="Times New Roman" w:hAnsi="Arial" w:cs="Arial"/>
                <w:sz w:val="16"/>
                <w:szCs w:val="16"/>
                <w:lang w:eastAsia="es-CO"/>
              </w:rPr>
              <w:br/>
              <w:t>1156/2015</w:t>
            </w:r>
            <w:r w:rsidRPr="00DD3C17">
              <w:rPr>
                <w:rFonts w:ascii="Arial" w:eastAsia="Times New Roman" w:hAnsi="Arial" w:cs="Arial"/>
                <w:sz w:val="16"/>
                <w:szCs w:val="16"/>
                <w:lang w:eastAsia="es-CO"/>
              </w:rPr>
              <w:br/>
              <w:t>1260/2015</w:t>
            </w:r>
            <w:r w:rsidRPr="00DD3C17">
              <w:rPr>
                <w:rFonts w:ascii="Arial" w:eastAsia="Times New Roman" w:hAnsi="Arial" w:cs="Arial"/>
                <w:sz w:val="16"/>
                <w:szCs w:val="16"/>
                <w:lang w:eastAsia="es-CO"/>
              </w:rPr>
              <w:br/>
              <w:t>1383/2015</w:t>
            </w:r>
            <w:r w:rsidRPr="00DD3C17">
              <w:rPr>
                <w:rFonts w:ascii="Arial" w:eastAsia="Times New Roman" w:hAnsi="Arial" w:cs="Arial"/>
                <w:sz w:val="16"/>
                <w:szCs w:val="16"/>
                <w:lang w:eastAsia="es-CO"/>
              </w:rPr>
              <w:br/>
              <w:t>1429/2015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1830"/>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br/>
              <w:t>Realizar el control de las cantidades de RCD que son aprovechados en obra orientado a hacer seguimiento para que el 25% de los escombros generados en las obras controladas por la SDA, utilicen técnicas de aprovechamiento y tratamiento</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En aspectos relacionados con el aprovechamiento de RCD en obras, en lo que va recorrido del 2015 se gestionó el 20,02% de la totalidad de RCD controlados que aplicó el desarrollo de técnicas de aprovechamiento y tratamiento para un total de un millón doscientos veintitrés mil ochocientos cuatro  (1.601,600 ton.) Estos valores se obtienen con los seguimientos a megaproyectos y concienciación a los generadores de RCD de la Resolución 01115 del 2012</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206/2015</w:t>
            </w:r>
            <w:r w:rsidRPr="00DD3C17">
              <w:rPr>
                <w:rFonts w:ascii="Arial" w:eastAsia="Times New Roman" w:hAnsi="Arial" w:cs="Arial"/>
                <w:sz w:val="16"/>
                <w:szCs w:val="16"/>
                <w:lang w:eastAsia="es-CO"/>
              </w:rPr>
              <w:br/>
              <w:t>356/2015</w:t>
            </w:r>
            <w:r w:rsidRPr="00DD3C17">
              <w:rPr>
                <w:rFonts w:ascii="Arial" w:eastAsia="Times New Roman" w:hAnsi="Arial" w:cs="Arial"/>
                <w:sz w:val="16"/>
                <w:szCs w:val="16"/>
                <w:lang w:eastAsia="es-CO"/>
              </w:rPr>
              <w:br/>
              <w:t>404/2015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1830"/>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Formular dos instrumentos de seguimiento para el control a la generación y disposición final de escombros.</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Se realizó el 28 de mayo de 2015 el Conversatorio de Residuos de Construcción y Demolición para generar un espacio de encuentro entre el sector de la construcción y la autoridad ambiental donde se dio a conocer  el “Documento técnico de soporte para la  adopción de los lineamientos de formulación e implementación del plan de gestión de  residuos de construcción y demolición – RCD y la Tercera Edición de la “Guía para la elaboración del plan de gestión de residuos de construcción y demolición - RCD en la obra” En su tercera versión, como segundo instrumento de seguimiento para el control a la generación y disposición final de escombros. El conversatorio contó con la asistencia de 150 personas integrantes de constructoras, empresas aprovechadoras de RCD  e instituciones distritales que realizan obras en la ciudad</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No se ejecutaron contratos  -el reporte de avance en  la magnitud  para el 2015 hace referencia a la reserva constituida en la vigencia 2014</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1830"/>
        </w:trPr>
        <w:tc>
          <w:tcPr>
            <w:tcW w:w="1049" w:type="dxa"/>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Realizar  el mantenimiento a los  instrumentos de seguimiento para el control a la generación y disposición final de escombros; </w:t>
            </w:r>
          </w:p>
        </w:tc>
        <w:tc>
          <w:tcPr>
            <w:tcW w:w="4456"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Durante la vigencia   2015 se  realizó una labor de mejoramiento constante con la DPSIA a</w:t>
            </w:r>
            <w:r>
              <w:rPr>
                <w:rFonts w:ascii="Arial" w:eastAsia="Times New Roman" w:hAnsi="Arial" w:cs="Arial"/>
                <w:sz w:val="16"/>
                <w:szCs w:val="16"/>
                <w:lang w:eastAsia="es-CO"/>
              </w:rPr>
              <w:t xml:space="preserve"> </w:t>
            </w:r>
            <w:r w:rsidRPr="00DD3C17">
              <w:rPr>
                <w:rFonts w:ascii="Arial" w:eastAsia="Times New Roman" w:hAnsi="Arial" w:cs="Arial"/>
                <w:sz w:val="16"/>
                <w:szCs w:val="16"/>
                <w:lang w:eastAsia="es-CO"/>
              </w:rPr>
              <w:t xml:space="preserve">través de sus profesionales quienes han colaborado para el mejoramiento de esta herramienta, el correo de escombros@ambientebogota.gov.co es la ventana por la cual los usuarios nos reportan sugerencias, inquietudes, requerimientos y todos los temas importantes para los usuarios y para el continuo mejoramiento del Portal Web. Cada vez que un usuario remite una no conformidad se manifiesta a la DPSIA el cual activa el requerimiento lo </w:t>
            </w:r>
            <w:r w:rsidR="00BA190B" w:rsidRPr="00DD3C17">
              <w:rPr>
                <w:rFonts w:ascii="Arial" w:eastAsia="Times New Roman" w:hAnsi="Arial" w:cs="Arial"/>
                <w:sz w:val="16"/>
                <w:szCs w:val="16"/>
                <w:lang w:eastAsia="es-CO"/>
              </w:rPr>
              <w:t>más</w:t>
            </w:r>
            <w:r w:rsidRPr="00DD3C17">
              <w:rPr>
                <w:rFonts w:ascii="Arial" w:eastAsia="Times New Roman" w:hAnsi="Arial" w:cs="Arial"/>
                <w:sz w:val="16"/>
                <w:szCs w:val="16"/>
                <w:lang w:eastAsia="es-CO"/>
              </w:rPr>
              <w:t xml:space="preserve"> pronto posible para generar una respuesta oportuna. </w:t>
            </w:r>
          </w:p>
        </w:tc>
        <w:tc>
          <w:tcPr>
            <w:tcW w:w="995" w:type="dxa"/>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Calidad ambiental del espacio público</w:t>
            </w:r>
          </w:p>
        </w:tc>
        <w:tc>
          <w:tcPr>
            <w:tcW w:w="1260" w:type="dxa"/>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shd w:val="clear" w:color="auto" w:fill="auto"/>
            <w:noWrap/>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1142/2015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5910"/>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1. Desarrollar escenarios para la promoción, comunicación y socialización de instrumentos de gestión, técnicos o normativos que permitan el fortalecimiento de la gestión integral de residuos peligrosos y especiales.</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Se han promovido escenarios de socialización sobre residuos peligrosos y especiales:</w:t>
            </w:r>
            <w:r w:rsidRPr="00DD3C17">
              <w:rPr>
                <w:rFonts w:ascii="Arial" w:eastAsia="Times New Roman" w:hAnsi="Arial" w:cs="Arial"/>
                <w:sz w:val="16"/>
                <w:szCs w:val="16"/>
                <w:lang w:eastAsia="es-CO"/>
              </w:rPr>
              <w:br/>
            </w:r>
            <w:r w:rsidRPr="00DD3C17">
              <w:rPr>
                <w:rFonts w:ascii="Arial" w:eastAsia="Times New Roman" w:hAnsi="Arial" w:cs="Arial"/>
                <w:b/>
                <w:bCs/>
                <w:sz w:val="16"/>
                <w:szCs w:val="16"/>
                <w:u w:val="single"/>
                <w:lang w:eastAsia="es-CO"/>
              </w:rPr>
              <w:t>Residuos sólidos urbanos:</w:t>
            </w:r>
            <w:r w:rsidRPr="00DD3C17">
              <w:rPr>
                <w:rFonts w:ascii="Arial" w:eastAsia="Times New Roman" w:hAnsi="Arial" w:cs="Arial"/>
                <w:sz w:val="16"/>
                <w:szCs w:val="16"/>
                <w:lang w:eastAsia="es-CO"/>
              </w:rPr>
              <w:t xml:space="preserve">    </w:t>
            </w:r>
            <w:r w:rsidRPr="00DD3C17">
              <w:rPr>
                <w:rFonts w:ascii="Arial" w:eastAsia="Times New Roman" w:hAnsi="Arial" w:cs="Arial"/>
                <w:sz w:val="16"/>
                <w:szCs w:val="16"/>
                <w:lang w:eastAsia="es-CO"/>
              </w:rPr>
              <w:br/>
              <w:t xml:space="preserve">• Se remitieron observaciones por correo electrónico, a la Dirección de Planeación y Sistemas de Información, frente a proyecto presentado por la Universidad Nacional, relacionado con el aprovechamiento de aceite de fritura usado para la producción de tensoactivos, que busca ser financiado a través del Fondo Nacional de Regalías y que es promovido por la Secretaría Distrital de Planeación.    </w:t>
            </w:r>
            <w:r w:rsidRPr="00DD3C17">
              <w:rPr>
                <w:rFonts w:ascii="Arial" w:eastAsia="Times New Roman" w:hAnsi="Arial" w:cs="Arial"/>
                <w:sz w:val="16"/>
                <w:szCs w:val="16"/>
                <w:lang w:eastAsia="es-CO"/>
              </w:rPr>
              <w:br/>
              <w:t xml:space="preserve">• El día 16 de octubre se asistió a reunión de la Mesa Distrital de Orgánicos convocada por la UAESP, en donde esta entidad realizó la presentación oficial del avance de los Convenios suscritos, para el aprovechamiento de orgánicos y modificaciones del PGIRS.                                                                                                                                                                                                                                      </w:t>
            </w:r>
            <w:r w:rsidRPr="00DD3C17">
              <w:rPr>
                <w:rFonts w:ascii="Arial" w:eastAsia="Times New Roman" w:hAnsi="Arial" w:cs="Arial"/>
                <w:sz w:val="16"/>
                <w:szCs w:val="16"/>
                <w:lang w:eastAsia="es-CO"/>
              </w:rPr>
              <w:br/>
              <w:t>• Se realizaron comentarios al Proyecto de Acuerdo por medio del cual se regula la gestión de aceites vegetales usados y se establecen otras disposiciones.</w:t>
            </w:r>
            <w:r w:rsidRPr="00DD3C17">
              <w:rPr>
                <w:rFonts w:ascii="Arial" w:eastAsia="Times New Roman" w:hAnsi="Arial" w:cs="Arial"/>
                <w:sz w:val="16"/>
                <w:szCs w:val="16"/>
                <w:lang w:eastAsia="es-CO"/>
              </w:rPr>
              <w:br/>
            </w:r>
            <w:r w:rsidRPr="00DD3C17">
              <w:rPr>
                <w:rFonts w:ascii="Arial" w:eastAsia="Times New Roman" w:hAnsi="Arial" w:cs="Arial"/>
                <w:b/>
                <w:bCs/>
                <w:sz w:val="16"/>
                <w:szCs w:val="16"/>
                <w:u w:val="single"/>
                <w:lang w:eastAsia="es-CO"/>
              </w:rPr>
              <w:t>Llantas usadas:</w:t>
            </w:r>
            <w:r w:rsidRPr="00DD3C17">
              <w:rPr>
                <w:rFonts w:ascii="Arial" w:eastAsia="Times New Roman" w:hAnsi="Arial" w:cs="Arial"/>
                <w:sz w:val="16"/>
                <w:szCs w:val="16"/>
                <w:lang w:eastAsia="es-CO"/>
              </w:rPr>
              <w:br/>
              <w:t>• Se coordinó la realización y se asistió a las Mesas Distritales de llantas que tuvieron lugar en la sala de juntas de la SDA, con el fin de verificar las competencias de las entidades involucradas en atención al Acuerdo 602 de 2015 y el Decreto Distrital 442 de 2015 sobre llantas usadas. (30.10.15 y 16.12.15)</w:t>
            </w:r>
            <w:r w:rsidRPr="00DD3C17">
              <w:rPr>
                <w:rFonts w:ascii="Arial" w:eastAsia="Times New Roman" w:hAnsi="Arial" w:cs="Arial"/>
                <w:sz w:val="16"/>
                <w:szCs w:val="16"/>
                <w:lang w:eastAsia="es-CO"/>
              </w:rPr>
              <w:br/>
              <w:t xml:space="preserve">• El día 19 de octubre se participó en reunión con los profesionales encargados del tema de llantas usadas de la SEGAE, para establecer actividades a realizar en el marco del Acuerdo 602 de 2015 y el Decreto 442 de 2015.                                                                                                                                                                                                                                                                                                </w:t>
            </w:r>
            <w:r w:rsidRPr="00DD3C17">
              <w:rPr>
                <w:rFonts w:ascii="Arial" w:eastAsia="Times New Roman" w:hAnsi="Arial" w:cs="Arial"/>
                <w:sz w:val="16"/>
                <w:szCs w:val="16"/>
                <w:lang w:eastAsia="es-CO"/>
              </w:rPr>
              <w:br/>
              <w:t xml:space="preserve">• Durante éste periodo se elaboraron 148 oficios dirigidos a importadores registrados en la Superintendencia de Industria y Comercio recordando la obligación de pertenecer a un </w:t>
            </w:r>
            <w:r w:rsidRPr="00DD3C17">
              <w:rPr>
                <w:rFonts w:ascii="Arial" w:eastAsia="Times New Roman" w:hAnsi="Arial" w:cs="Arial"/>
                <w:sz w:val="16"/>
                <w:szCs w:val="16"/>
                <w:lang w:eastAsia="es-CO"/>
              </w:rPr>
              <w:lastRenderedPageBreak/>
              <w:t xml:space="preserve">programa de recolección selectiva como requisito para sus importaciones de llantas.  Adicionalmente se tabuló la información recibida por parte de los importadores  de vehículos automotores y llantas.                       </w:t>
            </w:r>
            <w:r w:rsidRPr="00DD3C17">
              <w:rPr>
                <w:rFonts w:ascii="Arial" w:eastAsia="Times New Roman" w:hAnsi="Arial" w:cs="Arial"/>
                <w:sz w:val="16"/>
                <w:szCs w:val="16"/>
                <w:lang w:eastAsia="es-CO"/>
              </w:rPr>
              <w:br/>
              <w:t>•  Se enviaron al Ministerio de Ambiente y desarrollo Sostenible las observaciones, comentarios y sugerencias realizadas por la Secretaría Distrital de Ambiente, relacionadas al proyecto de modificación de la Resolución 1457 de 2010.</w:t>
            </w:r>
            <w:r w:rsidRPr="00DD3C17">
              <w:rPr>
                <w:rFonts w:ascii="Arial" w:eastAsia="Times New Roman" w:hAnsi="Arial" w:cs="Arial"/>
                <w:sz w:val="16"/>
                <w:szCs w:val="16"/>
                <w:lang w:eastAsia="es-CO"/>
              </w:rPr>
              <w:br/>
            </w:r>
            <w:r w:rsidRPr="00DD3C17">
              <w:rPr>
                <w:rFonts w:ascii="Arial" w:eastAsia="Times New Roman" w:hAnsi="Arial" w:cs="Arial"/>
                <w:b/>
                <w:bCs/>
                <w:sz w:val="16"/>
                <w:szCs w:val="16"/>
                <w:u w:val="single"/>
                <w:lang w:eastAsia="es-CO"/>
              </w:rPr>
              <w:t>Residuos peligrosos:</w:t>
            </w:r>
            <w:r w:rsidRPr="00DD3C17">
              <w:rPr>
                <w:rFonts w:ascii="Arial" w:eastAsia="Times New Roman" w:hAnsi="Arial" w:cs="Arial"/>
                <w:sz w:val="16"/>
                <w:szCs w:val="16"/>
                <w:lang w:eastAsia="es-CO"/>
              </w:rPr>
              <w:br/>
              <w:t>• Se coordinó la realización, se participó en las reuniones de la Mesa Distrital de Residuos Peligrosos y se envió el acta de las reuniones realizadas durante los meses de septiembre, octubre, noviembre y diciembre.</w:t>
            </w:r>
            <w:r w:rsidRPr="00DD3C17">
              <w:rPr>
                <w:rFonts w:ascii="Arial" w:eastAsia="Times New Roman" w:hAnsi="Arial" w:cs="Arial"/>
                <w:sz w:val="16"/>
                <w:szCs w:val="16"/>
                <w:lang w:eastAsia="es-CO"/>
              </w:rPr>
              <w:br/>
              <w:t xml:space="preserve">• Se elaboraron oficios de los procesos para Bomberos, la Secretaría de Salud, la UAESP y el IDIGER solicitando la confirmación de la aprobación del Protocolo Distrital Para la Atención de Incidentes con Materiales y/o Residuos Peligrosos.     </w:t>
            </w:r>
            <w:r w:rsidRPr="00DD3C17">
              <w:rPr>
                <w:rFonts w:ascii="Arial" w:eastAsia="Times New Roman" w:hAnsi="Arial" w:cs="Arial"/>
                <w:sz w:val="16"/>
                <w:szCs w:val="16"/>
                <w:lang w:eastAsia="es-CO"/>
              </w:rPr>
              <w:br/>
              <w:t xml:space="preserve">• Se elaboró un oficio de respuesta al radicado SDA No. 2015ER230941, enviado por Unidad Administrativa Especial Cuerpo Oficial de Bomberos de Bogotá, al respecto de la aprobación del protocolo Distrital para la atención de incidentes con residuos Peligrosos Abandonados. </w:t>
            </w:r>
            <w:r w:rsidRPr="00DD3C17">
              <w:rPr>
                <w:rFonts w:ascii="Arial" w:eastAsia="Times New Roman" w:hAnsi="Arial" w:cs="Arial"/>
                <w:sz w:val="16"/>
                <w:szCs w:val="16"/>
                <w:lang w:eastAsia="es-CO"/>
              </w:rPr>
              <w:br/>
              <w:t>• Se coordinó y asistió a reuniones, con el fin de discutir y verificar las modificaciones al Plan de Gestión Integral de Residuos Peligrosos (PGIRP), para cada uno de los objetivos del Plan. (28.10.15, 03.11.15, 06.11.15 y 20.11.15).</w:t>
            </w:r>
            <w:r w:rsidRPr="00DD3C17">
              <w:rPr>
                <w:rFonts w:ascii="Arial" w:eastAsia="Times New Roman" w:hAnsi="Arial" w:cs="Arial"/>
                <w:sz w:val="16"/>
                <w:szCs w:val="16"/>
                <w:lang w:eastAsia="es-CO"/>
              </w:rPr>
              <w:br/>
              <w:t>• Se respondieron consultas realizadas por diferentes entidades públicas y privadas sobre la gestión de residuos peligrosos: Tóneres, bombillas ahorradoras, aceites usados de tipo automotriz, PCB, residuos de laboratorios, licencias de gestores autorizados, residuos de impresión, entre otros.</w:t>
            </w:r>
            <w:r w:rsidRPr="00DD3C17">
              <w:rPr>
                <w:rFonts w:ascii="Arial" w:eastAsia="Times New Roman" w:hAnsi="Arial" w:cs="Arial"/>
                <w:sz w:val="16"/>
                <w:szCs w:val="16"/>
                <w:lang w:eastAsia="es-CO"/>
              </w:rPr>
              <w:br/>
              <w:t>•  Se coordinó y asistió a una reunión entre la Secretaría Distrital de Ambiente (SDA) y la Corporación Autónoma Regional de Cundinamarca (CAR), con el fin de comenzar a articular acciones conjuntas entre esa corporación y la Secretaría en temas relacionados.</w:t>
            </w:r>
            <w:r w:rsidRPr="00DD3C17">
              <w:rPr>
                <w:rFonts w:ascii="Arial" w:eastAsia="Times New Roman" w:hAnsi="Arial" w:cs="Arial"/>
                <w:sz w:val="16"/>
                <w:szCs w:val="16"/>
                <w:lang w:eastAsia="es-CO"/>
              </w:rPr>
              <w:br/>
              <w:t xml:space="preserve">• Se realizó el informe final de la prueba piloto del Sistema de Declaración y Trazabilidad de Residuos Peligrosos (SDTRP) y la presentación de los resultados obtenidos en la prueba, ante los participantes. (Instituciones prestadoras de servicios </w:t>
            </w:r>
            <w:r w:rsidRPr="00DD3C17">
              <w:rPr>
                <w:rFonts w:ascii="Arial" w:eastAsia="Times New Roman" w:hAnsi="Arial" w:cs="Arial"/>
                <w:sz w:val="16"/>
                <w:szCs w:val="16"/>
                <w:lang w:eastAsia="es-CO"/>
              </w:rPr>
              <w:lastRenderedPageBreak/>
              <w:t xml:space="preserve">de salud, transportadores y gestores de residuos peligrosos) (14.12.15). </w:t>
            </w:r>
          </w:p>
        </w:tc>
        <w:tc>
          <w:tcPr>
            <w:tcW w:w="995"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Estrategia que permite llegar masivamente a los diferentes actores en la cadena de gestión de los residuos peligrosos y especiales promoviendo la gestión integral de los mismos e incentivando el  uso eficiente de los materiales o la sustitución por otros más amigables con el ambiente</w:t>
            </w:r>
          </w:p>
        </w:tc>
      </w:tr>
      <w:tr w:rsidR="00B7427E" w:rsidRPr="00DD3C17" w:rsidTr="00DD3C17">
        <w:trPr>
          <w:trHeight w:val="5910"/>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2115"/>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2. Diseñar un (1) instrumento normativo que permita fortalecer la gestión y el manejo de residuos peligrosos o especiales en el Distrito Capital</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Se coordinó la realización de las Mesas Distritales de llantas, con el fin de verificar las competencias de las entidades involucradas en el Acuerdo 602 de 2015 y en el Decreto Distrital 442 de 2015 sobre llantas usadas. (30.10.15)</w:t>
            </w:r>
            <w:r w:rsidRPr="00DD3C17">
              <w:rPr>
                <w:rFonts w:ascii="Arial" w:eastAsia="Times New Roman" w:hAnsi="Arial" w:cs="Arial"/>
                <w:sz w:val="16"/>
                <w:szCs w:val="16"/>
                <w:lang w:eastAsia="es-CO"/>
              </w:rPr>
              <w:br/>
              <w:t>• El 9 de noviembre de 2015 se emitió el Decreto 442, “Por medio del cual se crea el Programa de aprovechamiento o valorización de llantas usadas en el Distrito Capital y se adoptan otras disposiciones”. El cual establece el registro de acopiadores y gestores de llantas, reglamenta el aprovechamiento y valorización a través de su uso en obras de infraestructura del transporte, la inclusión en el diseño en el Sistema Distrital de parques de Grano de Caucho Reciclado, el reencauche de llantas usadas por parte de las entidades públicas distritales y criterios de compras verdes para asegurar la calidad de las llantas, de forma que sean susceptibles al reencauche.</w:t>
            </w:r>
            <w:r w:rsidRPr="00DD3C17">
              <w:rPr>
                <w:rFonts w:ascii="Arial" w:eastAsia="Times New Roman" w:hAnsi="Arial" w:cs="Arial"/>
                <w:sz w:val="16"/>
                <w:szCs w:val="16"/>
                <w:lang w:eastAsia="es-CO"/>
              </w:rPr>
              <w:br/>
              <w:t>• Se asistió a la reunión de la Mesa Nacional de Llantas Usadas citada por El Ministerio de Ambiente y Desarrollo Sostenible, donde se realizó la socialización del Decreto de Llantas usadas (Decreto 442 de 2015), por parte del Subdirector de Ecourbanismo y Gestión Ambiental Empresarial, y el MADS realizó la presentación del borrador de modificación de la Resolución 1457 de 2010. (27.11.15)</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Abordaje de actores estratégicos desde la normatividad impulsando diferentes alternativas para la solución de la problemática de residuos peligrosos y especiales, promoviendo la gestión integral de los residuos que se generan en la ciudad  e incentivando el uso  eficiente de los materiales</w:t>
            </w:r>
          </w:p>
        </w:tc>
      </w:tr>
      <w:tr w:rsidR="00B7427E" w:rsidRPr="00DD3C17" w:rsidTr="00DD3C17">
        <w:trPr>
          <w:trHeight w:val="2115"/>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4155"/>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3. Impulsar y promover los programas posconsumo o sistemas de recolección selectiva y gestión ambiental que sean regulados por el MADS, así como la promoción y divulgación del aprovechamiento de residuos y subproductos.</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Se participó en el "II Día Distrital de los Motociclistas y la I feria por la Seguridad Vial, el cambio tecnológico voluntario y la cultura ciudadana” el 3 de octubre de 2015, en el Centro Comercial Calima, durante la cual se realizaron presentaciones respecto al manejo de los residuos generados por el funcionamiento de estos vehículos, como Baterías usadas, residuos de aceites usados, llantas usadas y residuos de aparatos eléctricos y electrónicos (RAEE).</w:t>
            </w:r>
            <w:r w:rsidRPr="00DD3C17">
              <w:rPr>
                <w:rFonts w:ascii="Arial" w:eastAsia="Times New Roman" w:hAnsi="Arial" w:cs="Arial"/>
                <w:sz w:val="16"/>
                <w:szCs w:val="16"/>
                <w:lang w:eastAsia="es-CO"/>
              </w:rPr>
              <w:br/>
              <w:t xml:space="preserve">• Se realizó la promoción del plan posconsumo APROVET para medicamentos vencidos de uso veterinario, mediante una capacitación a las clínicas veterinarias de la ciudad el día 26 de octubre de 2015 en al auditorio de la SDA, donde también participó el SENA, ICA y APROVET.            </w:t>
            </w:r>
            <w:r w:rsidRPr="00DD3C17">
              <w:rPr>
                <w:rFonts w:ascii="Arial" w:eastAsia="Times New Roman" w:hAnsi="Arial" w:cs="Arial"/>
                <w:sz w:val="16"/>
                <w:szCs w:val="16"/>
                <w:lang w:eastAsia="es-CO"/>
              </w:rPr>
              <w:br/>
              <w:t>• Se revisó la propuesta de un carnet para mascotas, que lleva la información del plan posconsumo de medicamentos de uso veterinario APROVET, donde la comunidad visualice los puntos de recolección en la ciudad.</w:t>
            </w:r>
            <w:r w:rsidRPr="00DD3C17">
              <w:rPr>
                <w:rFonts w:ascii="Arial" w:eastAsia="Times New Roman" w:hAnsi="Arial" w:cs="Arial"/>
                <w:sz w:val="16"/>
                <w:szCs w:val="16"/>
                <w:lang w:eastAsia="es-CO"/>
              </w:rPr>
              <w:br/>
              <w:t>• Se coordinó la realización de una reunión entre el área técnica y jurídica del Ministerio de Ambiente y Desarrollo Sostenible y diferentes dependencias de la SDA, que necesitaban aclarar dudas en cuanto al programa posconsumo de tóneres y cartuchos de tinta. (19.10.15)</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lastRenderedPageBreak/>
              <w:t xml:space="preserve">• Se realizó una capacitación sobre RESPEL y planes posconsumo, para el Departamento de Prosperidad Social, el 6 de noviembre de 2015, a la cual se invitó al grupo de Gestión Ambiental empresarial – GAE, para incentivarlos a participar en el programa. </w:t>
            </w:r>
            <w:r w:rsidRPr="00DD3C17">
              <w:rPr>
                <w:rFonts w:ascii="Arial" w:eastAsia="Times New Roman" w:hAnsi="Arial" w:cs="Arial"/>
                <w:sz w:val="16"/>
                <w:szCs w:val="16"/>
                <w:lang w:eastAsia="es-CO"/>
              </w:rPr>
              <w:br/>
              <w:t>• Se realizaron capacitaciones al Departamento Administrativo del Servicio Civil y la Universidad Cooperativa de Colombia, sobre residuos peligrosos y los programas posconsumo para la gestión integral de residuos de computadores y periféricos, bombillas ahorradoras, pilas usadas, envases de insecticidas de uso doméstico y medicamentos vencidos de uso humano y veterinario.</w:t>
            </w:r>
            <w:r w:rsidRPr="00DD3C17">
              <w:rPr>
                <w:rFonts w:ascii="Arial" w:eastAsia="Times New Roman" w:hAnsi="Arial" w:cs="Arial"/>
                <w:sz w:val="16"/>
                <w:szCs w:val="16"/>
                <w:lang w:eastAsia="es-CO"/>
              </w:rPr>
              <w:br/>
              <w:t xml:space="preserve">• Se asistió a reunión de presentación del aplicativo posconsumo en el Visor Geográfico Ambiental y se coordinó una jornada de capacitación sobre la introducción de datos en el aplicativo. El aplicativo busca brindar información a la ciudadanía para conocer los sitios en donde puede realizar la adecuada disposición de los residuos que cuentan con planes posconsumo. </w:t>
            </w:r>
            <w:r w:rsidRPr="00DD3C17">
              <w:rPr>
                <w:rFonts w:ascii="Arial" w:eastAsia="Times New Roman" w:hAnsi="Arial" w:cs="Arial"/>
                <w:sz w:val="16"/>
                <w:szCs w:val="16"/>
                <w:lang w:eastAsia="es-CO"/>
              </w:rPr>
              <w:br/>
              <w:t xml:space="preserve">• Durante éste periodo se continuó con la campaña de recolección de bombillas ahorradoras, en los colegios distritales. Hasta el 31 de diciembre de 2015 se gestionaron adecuadamente más de 13 toneladas de estos residuos con las instituciones distritales. </w:t>
            </w:r>
            <w:r w:rsidRPr="00DD3C17">
              <w:rPr>
                <w:rFonts w:ascii="Arial" w:eastAsia="Times New Roman" w:hAnsi="Arial" w:cs="Arial"/>
                <w:sz w:val="16"/>
                <w:szCs w:val="16"/>
                <w:lang w:eastAsia="es-CO"/>
              </w:rPr>
              <w:br/>
              <w:t xml:space="preserve">• Se realizó la divulgación de la información correspondiente a los programas posconsumo para la gestión integral de residuos de computadores y periféricos, bombillas ahorradoras, pilas usadas y envases de insecticidas de uso doméstico; para la entrega de residuos institucionales del </w:t>
            </w:r>
            <w:r w:rsidRPr="00DD3C17">
              <w:rPr>
                <w:rFonts w:ascii="Arial" w:eastAsia="Times New Roman" w:hAnsi="Arial" w:cs="Arial"/>
                <w:sz w:val="16"/>
                <w:szCs w:val="16"/>
                <w:lang w:eastAsia="es-CO"/>
              </w:rPr>
              <w:lastRenderedPageBreak/>
              <w:t>Laboratorio Remo, el Banco Agrario y el Instituto Barraquer de América, entre otras entidades.</w:t>
            </w:r>
          </w:p>
        </w:tc>
        <w:tc>
          <w:tcPr>
            <w:tcW w:w="995"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Se promueven diferentes alternativas de disposición adecuada asociadas a los programas pos consumo  y sistemas de recolección selectiva  a la población en general promoviendo la gestión integral de los residuos peligrosos que generan en la ciudad </w:t>
            </w:r>
          </w:p>
        </w:tc>
      </w:tr>
      <w:tr w:rsidR="00B7427E" w:rsidRPr="00DD3C17" w:rsidTr="00DD3C17">
        <w:trPr>
          <w:trHeight w:val="4155"/>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3450"/>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4. Realizar acciones de gestión para la promoción de la cuantificación y reducción de Sustancias Agotadoras de la Capa de Ozono (SAO) y los Compuestos Orgánico Persistentes (COP) </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Se coordinó una reunión con la Subdirección del Recurso Hídrico y del Suelo para revisar el tema de la promoción de la inscripción de propietarios de PCB en la plataforma del IDEAM y se acordó que desde Subdirección de Ecourbanismo, se solicitaría el ajuste del enlace y la subida de los manuales actualizados en la web SDA, para facilitarle a los usuarios el acceso y reporte de la información y así poder promocionar e incrementar el uso de la herramienta.</w:t>
            </w:r>
            <w:r w:rsidRPr="00DD3C17">
              <w:rPr>
                <w:rFonts w:ascii="Arial" w:eastAsia="Times New Roman" w:hAnsi="Arial" w:cs="Arial"/>
                <w:sz w:val="16"/>
                <w:szCs w:val="16"/>
                <w:lang w:eastAsia="es-CO"/>
              </w:rPr>
              <w:br/>
              <w:t xml:space="preserve">• Así mismo, se planteó programar para febrero de 2016 una capacitación a los propietarios en Bogotá de equipos con PCB en la SDA con apoyo del IDEAM y el Ministerio de Ambiente y Desarrollo Sostenible.  </w:t>
            </w:r>
            <w:r w:rsidRPr="00DD3C17">
              <w:rPr>
                <w:rFonts w:ascii="Arial" w:eastAsia="Times New Roman" w:hAnsi="Arial" w:cs="Arial"/>
                <w:sz w:val="16"/>
                <w:szCs w:val="16"/>
                <w:lang w:eastAsia="es-CO"/>
              </w:rPr>
              <w:br/>
              <w:t>• Se hizo la revisión y ajuste del objetivo 3, dentro de la modificación al Plan de Gestión Integral de Residuos Peligrosos (PGIRP), este objetivo establece la Implementación de los compromisos internacionales relacionados con sustancias y residuos peligrosos, que específicamente se refiere a la gestión de las Sustancias Agotadoras de la capa de Ozono (SAO) y los Compuestos Orgánico persistentes (COP)</w:t>
            </w:r>
            <w:r w:rsidRPr="00DD3C17">
              <w:rPr>
                <w:rFonts w:ascii="Arial" w:eastAsia="Times New Roman" w:hAnsi="Arial" w:cs="Arial"/>
                <w:sz w:val="16"/>
                <w:szCs w:val="16"/>
                <w:lang w:eastAsia="es-CO"/>
              </w:rPr>
              <w:br/>
              <w:t>• Se sostuvo una reunión con el Ministerio de Ambiente y Desarrollo Sostenible para escuchar las iniciativas del PNUMA frente a Distritos Térmicos en el mundo y ver la posibilidad que esta entidad apoyara el proyecto de Bogotá. (Sustitución de SAO y eficiencia energética). Adicionalmente, se está revisando el borrador de convenio con EPM - SDA para dejar una propuesta a la implementación del proyecto de Distritos Térmicos, para ser presentada a la administración en el 2016.</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Abordaje de diferentes actores que generan SAO y COP promoviendo la gestión integral de los residuos peligrosos generados e incentivando el uso de otros materiales más amigables con el ambiente </w:t>
            </w:r>
          </w:p>
        </w:tc>
      </w:tr>
      <w:tr w:rsidR="00B7427E" w:rsidRPr="00DD3C17" w:rsidTr="00DD3C17">
        <w:trPr>
          <w:trHeight w:val="1320"/>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2595"/>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5. Realizar actividades de gestión que promuevan el mejoramiento de la cadena de gestión de los residuos hospitalarios.</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Se coordinó y asistió a una reunión en el Aeropuerto el Dorado, con OPAIN, para evaluar alternativas para el manejo integral de los residuos biológicos que se generarían en respuesta a una posible emergencia. La UAESP se comprometió a organizar una reunión posterior con Ecocapital, para definir el mecanismo de activación y atención.</w:t>
            </w:r>
            <w:r w:rsidRPr="00DD3C17">
              <w:rPr>
                <w:rFonts w:ascii="Arial" w:eastAsia="Times New Roman" w:hAnsi="Arial" w:cs="Arial"/>
                <w:sz w:val="16"/>
                <w:szCs w:val="16"/>
                <w:lang w:eastAsia="es-CO"/>
              </w:rPr>
              <w:br/>
              <w:t>• Se finalizó la Prueba Piloto del Sistema de Declaración y Trazabilidad de residuos Peligrosos, que se venía realizando como un mecanismo de gestión y de control al abandono de residuos peligrosos hospitalarios en calle. El reporte de las cantidades gestionadas por parte de las instituciones prestadoras de salud finalizó el 31 de octubre de 2015. La presentación del informe de los resultados se realizó el 14 de Diciembre de 2015 en la Secretaría Distrital de Salud.</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Trabajo con los diferentes actores de la cadena de gestión promoviendo la gestión integral de los residuos peligrosos que generan en el sector hospitalario</w:t>
            </w:r>
          </w:p>
        </w:tc>
      </w:tr>
      <w:tr w:rsidR="00B7427E" w:rsidRPr="00DD3C17" w:rsidTr="00DD3C17">
        <w:trPr>
          <w:trHeight w:val="2595"/>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693"/>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6. Promover la implementación de una herramienta informática para optimizar la gestión y manejo de residuos peligrosos.</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 Se implementó y se puso en marcha, a través de la prueba piloto del SDTRP, una herramienta informática de control y gestión, que permitiera realizarle un seguimiento al manejo de los residuos hospitalarios generados en 23 Instituciones prestadoras de servicios de salud de Bogotá y Cundinamarca. Adicionalmente, la herramienta incluyó a los transportadores y gestores que realizan el tratamiento o disposición final a los residuos generados por estas instituciones. </w:t>
            </w:r>
            <w:r w:rsidRPr="00DD3C17">
              <w:rPr>
                <w:rFonts w:ascii="Arial" w:eastAsia="Times New Roman" w:hAnsi="Arial" w:cs="Arial"/>
                <w:sz w:val="16"/>
                <w:szCs w:val="16"/>
                <w:lang w:eastAsia="es-CO"/>
              </w:rPr>
              <w:br/>
              <w:t>• La herramienta viene siendo desarrollada por el Ministerio de Ambiente y Desarrollo Sostenible y está siendo optimizada con base en los comentarios, sugerencias y requerimientos que han manifestado los actores que vienen participando en la ejecución de la prueba piloto del Sistema de Declaración y Trazabilidad de Residuos Peligrosos.</w:t>
            </w:r>
            <w:r w:rsidRPr="00DD3C17">
              <w:rPr>
                <w:rFonts w:ascii="Arial" w:eastAsia="Times New Roman" w:hAnsi="Arial" w:cs="Arial"/>
                <w:sz w:val="16"/>
                <w:szCs w:val="16"/>
                <w:lang w:eastAsia="es-CO"/>
              </w:rPr>
              <w:br/>
              <w:t>• A finales de agosto se presentó una plataforma modificada y se tiene estimado que para mediados de diciembre se presentará la última versión modificada de la plataforma, la cual fue mejorada con base en los resultados obtenidos en la Prueba Piloto.</w:t>
            </w:r>
            <w:r w:rsidRPr="00DD3C17">
              <w:rPr>
                <w:rFonts w:ascii="Arial" w:eastAsia="Times New Roman" w:hAnsi="Arial" w:cs="Arial"/>
                <w:sz w:val="16"/>
                <w:szCs w:val="16"/>
                <w:lang w:eastAsia="es-CO"/>
              </w:rPr>
              <w:br/>
              <w:t>• El 14 de diciembre se presentaron los resultados de la prueba piloto del SDTRP y de la modificación de la plataforma, adicionalmente se hizo un reconocimiento a las entidades participantes. La reunión de socialización de los resultados se realizó en la Secretaría Distrital de Salud.</w:t>
            </w:r>
            <w:r w:rsidRPr="00DD3C17">
              <w:rPr>
                <w:rFonts w:ascii="Arial" w:eastAsia="Times New Roman" w:hAnsi="Arial" w:cs="Arial"/>
                <w:sz w:val="16"/>
                <w:szCs w:val="16"/>
                <w:lang w:eastAsia="es-CO"/>
              </w:rPr>
              <w:br/>
              <w:t xml:space="preserve">• Con la colaboración de la CAR, la SDS, la SDA y el MADS, se estructuró el informe final de los resultados de la prueba piloto, donde adicionalmente se presentaron las observaciones y recomendaciones para la implementación </w:t>
            </w:r>
            <w:r w:rsidRPr="00DD3C17">
              <w:rPr>
                <w:rFonts w:ascii="Arial" w:eastAsia="Times New Roman" w:hAnsi="Arial" w:cs="Arial"/>
                <w:sz w:val="16"/>
                <w:szCs w:val="16"/>
                <w:lang w:eastAsia="es-CO"/>
              </w:rPr>
              <w:lastRenderedPageBreak/>
              <w:t>del sistema en otros sectores considerados como prioritarios por la generación de residuos peligrosos.</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Herramienta que permite abordar a la población desde diferentes escenarios buscando se realice gestión integral de los residuos peligrosos que se generan en la ciudad  y que incentive el uso de otros materiales más amigables con el ambiente</w:t>
            </w:r>
          </w:p>
        </w:tc>
      </w:tr>
      <w:tr w:rsidR="00B7427E" w:rsidRPr="00DD3C17" w:rsidTr="00DD3C17">
        <w:trPr>
          <w:trHeight w:val="2415"/>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1230"/>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Realizar el control. aprovechamiento y tratamiento al 100% de las toneladas de residuos peligrosos generados en el Distrito Capital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7. Identificar el nivel de gestión en 300 generadores prioritarios de residuos peligrosos, bajo la metodología definida por la Secretaría Distrital de Ambiente</w:t>
            </w:r>
          </w:p>
        </w:tc>
        <w:tc>
          <w:tcPr>
            <w:tcW w:w="4456"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Se realizaron las 300 visitas de Identificación de Generadores prioritarios de residuos peligrosos, de las 300 visitas que se proyectaron para ser realizadas durante el año 2015.</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318/2015</w:t>
            </w:r>
            <w:r w:rsidRPr="00DD3C17">
              <w:rPr>
                <w:rFonts w:ascii="Arial" w:eastAsia="Times New Roman" w:hAnsi="Arial" w:cs="Arial"/>
                <w:sz w:val="16"/>
                <w:szCs w:val="16"/>
                <w:lang w:eastAsia="es-CO"/>
              </w:rPr>
              <w:br/>
              <w:t>473/2015</w:t>
            </w:r>
            <w:r w:rsidRPr="00DD3C17">
              <w:rPr>
                <w:rFonts w:ascii="Arial" w:eastAsia="Times New Roman" w:hAnsi="Arial" w:cs="Arial"/>
                <w:sz w:val="16"/>
                <w:szCs w:val="16"/>
                <w:lang w:eastAsia="es-CO"/>
              </w:rPr>
              <w:br/>
              <w:t>484/2015</w:t>
            </w:r>
            <w:r w:rsidRPr="00DD3C17">
              <w:rPr>
                <w:rFonts w:ascii="Arial" w:eastAsia="Times New Roman" w:hAnsi="Arial" w:cs="Arial"/>
                <w:sz w:val="16"/>
                <w:szCs w:val="16"/>
                <w:lang w:eastAsia="es-CO"/>
              </w:rPr>
              <w:br/>
              <w:t>474/2015</w:t>
            </w:r>
            <w:r w:rsidRPr="00DD3C17">
              <w:rPr>
                <w:rFonts w:ascii="Arial" w:eastAsia="Times New Roman" w:hAnsi="Arial" w:cs="Arial"/>
                <w:sz w:val="16"/>
                <w:szCs w:val="16"/>
                <w:lang w:eastAsia="es-CO"/>
              </w:rPr>
              <w:br/>
              <w:t>492/2015</w:t>
            </w:r>
            <w:r w:rsidRPr="00DD3C17">
              <w:rPr>
                <w:rFonts w:ascii="Arial" w:eastAsia="Times New Roman" w:hAnsi="Arial" w:cs="Arial"/>
                <w:sz w:val="16"/>
                <w:szCs w:val="16"/>
                <w:lang w:eastAsia="es-CO"/>
              </w:rPr>
              <w:br/>
              <w:t>521/2015</w:t>
            </w:r>
            <w:r w:rsidRPr="00DD3C17">
              <w:rPr>
                <w:rFonts w:ascii="Arial" w:eastAsia="Times New Roman" w:hAnsi="Arial" w:cs="Arial"/>
                <w:sz w:val="16"/>
                <w:szCs w:val="16"/>
                <w:lang w:eastAsia="es-CO"/>
              </w:rPr>
              <w:br/>
              <w:t>644/2015</w:t>
            </w:r>
            <w:r w:rsidRPr="00DD3C17">
              <w:rPr>
                <w:rFonts w:ascii="Arial" w:eastAsia="Times New Roman" w:hAnsi="Arial" w:cs="Arial"/>
                <w:sz w:val="16"/>
                <w:szCs w:val="16"/>
                <w:lang w:eastAsia="es-CO"/>
              </w:rPr>
              <w:br/>
              <w:t>673/2015</w:t>
            </w:r>
            <w:r w:rsidRPr="00DD3C17">
              <w:rPr>
                <w:rFonts w:ascii="Arial" w:eastAsia="Times New Roman" w:hAnsi="Arial" w:cs="Arial"/>
                <w:sz w:val="16"/>
                <w:szCs w:val="16"/>
                <w:lang w:eastAsia="es-CO"/>
              </w:rPr>
              <w:br/>
              <w:t>1210/2015</w:t>
            </w:r>
          </w:p>
        </w:tc>
        <w:tc>
          <w:tcPr>
            <w:tcW w:w="2745"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Estrategia que permite llegar a generadores prioritarios promoviendo la gestión integral de los residuos peligrosos que generan e incentivando el uso de otros materiales más amigables con el ambiente</w:t>
            </w:r>
          </w:p>
        </w:tc>
      </w:tr>
      <w:tr w:rsidR="00B7427E" w:rsidRPr="00DD3C17" w:rsidTr="00DD3C17">
        <w:trPr>
          <w:trHeight w:val="433"/>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4950"/>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Meta Plan de Desarrollo: Desarrollar una estrategia de gestión. </w:t>
            </w:r>
            <w:r w:rsidR="00BA190B" w:rsidRPr="00DD3C17">
              <w:rPr>
                <w:rFonts w:ascii="Arial" w:eastAsia="Times New Roman" w:hAnsi="Arial" w:cs="Arial"/>
                <w:sz w:val="16"/>
                <w:szCs w:val="16"/>
                <w:lang w:eastAsia="es-CO"/>
              </w:rPr>
              <w:t>Recuperación</w:t>
            </w:r>
            <w:r w:rsidRPr="00DD3C17">
              <w:rPr>
                <w:rFonts w:ascii="Arial" w:eastAsia="Times New Roman" w:hAnsi="Arial" w:cs="Arial"/>
                <w:sz w:val="16"/>
                <w:szCs w:val="16"/>
                <w:lang w:eastAsia="es-CO"/>
              </w:rPr>
              <w:t>. aprovechamiento de los residuos de aparatos eléctricos y electrónicos fundamentada en la responsabilidad de los diferentes actores de la cadena del ciclo de vida del producto</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1. Fortalecer y promover la campaña distrital orientada al manejo ambientalmente responsable de residuos de aparatos eléctricos y electrónicos.</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Se hicieron actividades de divulgación sobre la gestión de Residuos de Aparatos eléctricos y electrónicos, con la Agencia Colombiana para la Reintegración, el Instituto Nacional para Sordos, la Secretaría General de la Alcaldía, la Hacienda San Sebastián, el Instituto Nacional de Metrología, Fondo de Vigilancia y Seguridad de Bogotá, IQ Outsourcing, la Contraloría de Cundinamarca, Grama Ideas Frescas SAS y el Hospital Vista Hermosa entre otras entidades, tanto de forma personal, vía correo electrónico y telefónicamente.</w:t>
            </w:r>
            <w:r w:rsidRPr="00DD3C17">
              <w:rPr>
                <w:rFonts w:ascii="Arial" w:eastAsia="Times New Roman" w:hAnsi="Arial" w:cs="Arial"/>
                <w:sz w:val="16"/>
                <w:szCs w:val="16"/>
                <w:lang w:eastAsia="es-CO"/>
              </w:rPr>
              <w:br/>
              <w:t>• Se realizaron campañas puntuales de recolección de aparatos eléctricos y electrónicos con diferentes instituciones, a las cuales se les prestó el contenedor de Ecolecta y se entregó material de divulgación y promoción. Las instituciones que realizaron campañas durante este periodo son:  el Instituto de Ortopedia infantil Roosevelt, Colegio Isla del sol, Universidad Cooperativa de Colombia,  Iglesia Cruzada Cristiana,  la Policía Metropolitana de Bogotá, CUAN, IDRD, Uniminuto, Uniagustiniana y Universidad San Buenaventura.</w:t>
            </w:r>
            <w:r w:rsidRPr="00DD3C17">
              <w:rPr>
                <w:rFonts w:ascii="Arial" w:eastAsia="Times New Roman" w:hAnsi="Arial" w:cs="Arial"/>
                <w:sz w:val="16"/>
                <w:szCs w:val="16"/>
                <w:lang w:eastAsia="es-CO"/>
              </w:rPr>
              <w:br/>
              <w:t>• Se coordinó la participación de la Secretaría Distrital de Ambiente, en una campaña de recolección de residuos Posconsumo que se realizaría con la Cooperativa de Impresores y Papeleros de Bogotá (COIMPRESORES) y donde también participarían los programas posconsumo Lúmina, Pilas con el Ambiente y Punto azul (06.10.15)</w:t>
            </w:r>
            <w:r w:rsidRPr="00DD3C17">
              <w:rPr>
                <w:rFonts w:ascii="Arial" w:eastAsia="Times New Roman" w:hAnsi="Arial" w:cs="Arial"/>
                <w:sz w:val="16"/>
                <w:szCs w:val="16"/>
                <w:lang w:eastAsia="es-CO"/>
              </w:rPr>
              <w:br/>
              <w:t xml:space="preserve">• Se coordinó la realización de una entrevista en CM&amp;, para </w:t>
            </w:r>
            <w:r w:rsidRPr="00DD3C17">
              <w:rPr>
                <w:rFonts w:ascii="Arial" w:eastAsia="Times New Roman" w:hAnsi="Arial" w:cs="Arial"/>
                <w:sz w:val="16"/>
                <w:szCs w:val="16"/>
                <w:lang w:eastAsia="es-CO"/>
              </w:rPr>
              <w:lastRenderedPageBreak/>
              <w:t xml:space="preserve">mostrarle a los ciudadanos como es la cadena de gestión de los residuos de aparatos eléctricos y electrónicos, desde la recolección en el punto de acopio, hasta el proceso de tratamiento o aprovechamiento. </w:t>
            </w:r>
            <w:r w:rsidRPr="00DD3C17">
              <w:rPr>
                <w:rFonts w:ascii="Arial" w:eastAsia="Times New Roman" w:hAnsi="Arial" w:cs="Arial"/>
                <w:sz w:val="16"/>
                <w:szCs w:val="16"/>
                <w:lang w:eastAsia="es-CO"/>
              </w:rPr>
              <w:br/>
              <w:t>• Se realizaron reuniones entre el Grupo de Gestión de Residuos y la Oficina de Comunicaciones de la entidad, para determinar cuáles serían los elementos de Merchandising, para continuar con la promoción del programa Ecolecta y que se utilizarían durante el 2016.</w:t>
            </w:r>
            <w:r w:rsidRPr="00DD3C17">
              <w:rPr>
                <w:rFonts w:ascii="Arial" w:eastAsia="Times New Roman" w:hAnsi="Arial" w:cs="Arial"/>
                <w:sz w:val="16"/>
                <w:szCs w:val="16"/>
                <w:lang w:eastAsia="es-CO"/>
              </w:rPr>
              <w:br/>
              <w:t>• Se hizo la solicitud a los programas posconsumo, Pilas con el Ambiente, Ecocómputo, y Lúmina, de la recolección de los residuos recolectados a través de las campañas Ecolecta. Adicionalmente se hizo la solicitud de los certificados de disposición final de los residuos gestionados, con el objetivo de realizar la actualización de las cantidades recolectadas.</w:t>
            </w:r>
            <w:r w:rsidRPr="00DD3C17">
              <w:rPr>
                <w:rFonts w:ascii="Arial" w:eastAsia="Times New Roman" w:hAnsi="Arial" w:cs="Arial"/>
                <w:sz w:val="16"/>
                <w:szCs w:val="16"/>
                <w:lang w:eastAsia="es-CO"/>
              </w:rPr>
              <w:br/>
              <w:t xml:space="preserve">• Se hizo un consolidado y se reportaron las cantidades recolectadas por el programa Ecolecta desde el año 2012 hasta el año 2015 en sus canales residencial e institucional. </w:t>
            </w:r>
            <w:r w:rsidRPr="00DD3C17">
              <w:rPr>
                <w:rFonts w:ascii="Arial" w:eastAsia="Times New Roman" w:hAnsi="Arial" w:cs="Arial"/>
                <w:sz w:val="16"/>
                <w:szCs w:val="16"/>
                <w:lang w:eastAsia="es-CO"/>
              </w:rPr>
              <w:br/>
              <w:t>• Se participó en los siguientes eventos: Ecoyoga Festival y Bioexpo, donde se hizo promoción directa del programa Ecolecta con los asistentes a estos eventos.</w:t>
            </w:r>
            <w:r w:rsidRPr="00DD3C17">
              <w:rPr>
                <w:rFonts w:ascii="Arial" w:eastAsia="Times New Roman" w:hAnsi="Arial" w:cs="Arial"/>
                <w:sz w:val="16"/>
                <w:szCs w:val="16"/>
                <w:lang w:eastAsia="es-CO"/>
              </w:rPr>
              <w:br/>
              <w:t>• Se coordinó la realización de una reunión, solicitada por la Unidad Administrativa Especial de Servicios Públicos, con el fin de analizar las posibilidades de inclusión de los recicladores en los sistemas de gestión de residuos de aparatos eléctricos y electrónicos (RAEE), a la reunión se convocó además al Ministerio de Ambiente y Desarrollo Sostenible, la Autoridad Nacional de Licencias Ambientales (ANLA), la Subdirección del Recurso Hídrico y del Suelo,  y a los programas posconsumo: Pilas con el Ambiente, Lúmina y Ecócomputo. (21.10.15)</w:t>
            </w:r>
            <w:r w:rsidRPr="00DD3C17">
              <w:rPr>
                <w:rFonts w:ascii="Arial" w:eastAsia="Times New Roman" w:hAnsi="Arial" w:cs="Arial"/>
                <w:sz w:val="16"/>
                <w:szCs w:val="16"/>
                <w:lang w:eastAsia="es-CO"/>
              </w:rPr>
              <w:br/>
              <w:t>• Se realizó una reunión de reconocimiento a  las instituciones y empresas que contribuyeron con el Programa Ecolecta durante el 2014 y 2015, la reunión se realizó el 11 de diciembre de 2015 en el auditorio de la SDA, en donde también se presentaron los principales resultados del programa.</w:t>
            </w:r>
            <w:r w:rsidRPr="00DD3C17">
              <w:rPr>
                <w:rFonts w:ascii="Arial" w:eastAsia="Times New Roman" w:hAnsi="Arial" w:cs="Arial"/>
                <w:sz w:val="16"/>
                <w:szCs w:val="16"/>
                <w:lang w:eastAsia="es-CO"/>
              </w:rPr>
              <w:br/>
              <w:t>•  Durante el mes de diciembre de 2015 se realizó una versión más del Concurso interno Ecolecta, el cual tuvo una gran aceptación por parte de funcionarios y contratistas.</w:t>
            </w:r>
            <w:r w:rsidRPr="00DD3C17">
              <w:rPr>
                <w:rFonts w:ascii="Arial" w:eastAsia="Times New Roman" w:hAnsi="Arial" w:cs="Arial"/>
                <w:sz w:val="16"/>
                <w:szCs w:val="16"/>
                <w:lang w:eastAsia="es-CO"/>
              </w:rPr>
              <w:br/>
              <w:t xml:space="preserve">•  Durante el año 2015, se gestionaron adecuadamente alrededor de 59.593 kg de residuos de Aparatos Eléctricos y Electrónicos, de los cuales 16.120 kg de RAEE fueron </w:t>
            </w:r>
            <w:r w:rsidRPr="00DD3C17">
              <w:rPr>
                <w:rFonts w:ascii="Arial" w:eastAsia="Times New Roman" w:hAnsi="Arial" w:cs="Arial"/>
                <w:sz w:val="16"/>
                <w:szCs w:val="16"/>
                <w:lang w:eastAsia="es-CO"/>
              </w:rPr>
              <w:lastRenderedPageBreak/>
              <w:t xml:space="preserve">gestionados a través del canal residencial y 43.473 kg de RAEE a través del canal institucional. </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 Educación Ambiental</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465/2015</w:t>
            </w:r>
            <w:r w:rsidRPr="00DD3C17">
              <w:rPr>
                <w:rFonts w:ascii="Arial" w:eastAsia="Times New Roman" w:hAnsi="Arial" w:cs="Arial"/>
                <w:sz w:val="16"/>
                <w:szCs w:val="16"/>
                <w:lang w:eastAsia="es-CO"/>
              </w:rPr>
              <w:br/>
              <w:t>573/2015</w:t>
            </w:r>
          </w:p>
        </w:tc>
        <w:tc>
          <w:tcPr>
            <w:tcW w:w="2745"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 xml:space="preserve">La estrategia tiene por objeto  promover la entrega voluntaria de residuos de aparatos eléctricos y electrónicos (RAEE), que los ciudadanos no saben cómo disponer, sirviendo como canal entre los diferentes actores, brindando conocimiento a la ciudadanía en general de cómo manejar y disponer sus residuos adecuadamente, a través de los diferentes programas pos consumo y de recolección selectiva de los cuales se hace divulgación, promoviendo su uso en toda la ciudad e incentivando la responsabilidad en todos los actores involucrados </w:t>
            </w:r>
          </w:p>
        </w:tc>
      </w:tr>
      <w:tr w:rsidR="00B7427E" w:rsidRPr="00DD3C17" w:rsidTr="00DD3C17">
        <w:trPr>
          <w:trHeight w:val="5850"/>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2115"/>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Establecer un programa de promoción y desarrollo de mercados de productos reciclados</w:t>
            </w:r>
          </w:p>
        </w:tc>
        <w:tc>
          <w:tcPr>
            <w:tcW w:w="1652" w:type="dxa"/>
            <w:vMerge w:val="restart"/>
            <w:shd w:val="clear" w:color="auto" w:fill="auto"/>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Realizar acciones de gestión para promover y divulgar un programa que permita el desarrollo de mercados de productos reciclados y otros subproductos industriales.</w:t>
            </w:r>
          </w:p>
        </w:tc>
        <w:tc>
          <w:tcPr>
            <w:tcW w:w="4456"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Desde la SDA se realizaron los trámites requeridos para  la  desvinculación ante la UAESP como entidad coordinadora del Programa 21 “Basura Cero# y quien estaba asociada junto con la SDA al cumplimiento de esta meta PDD, igualmente solicitó ante la SDP  -Dirección de Programación y Seguimiento a la Inversión de la meta PDD 377 “Establecer un programa de promoción y desarrollo de mercados de productos reciclados” y el indicador 397 “un programa de promoción y desarrollo de mercados de productos reciclados”, al cierre de la vigencia 2015 no se ha recibido comunicación alguna por parte de la UAESP.</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Uso eficiente de los materiales</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Educación Ambiental</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No se ejecutaron contratos  - no hubo reporte de avance en  la magnitud  para el 2015.</w:t>
            </w:r>
          </w:p>
        </w:tc>
        <w:tc>
          <w:tcPr>
            <w:tcW w:w="2745" w:type="dxa"/>
            <w:vMerge w:val="restart"/>
            <w:shd w:val="clear" w:color="auto" w:fill="auto"/>
            <w:noWrap/>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N/A</w:t>
            </w:r>
          </w:p>
        </w:tc>
      </w:tr>
      <w:tr w:rsidR="00B7427E" w:rsidRPr="00DD3C17" w:rsidTr="00DD3C17">
        <w:trPr>
          <w:trHeight w:val="2115"/>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shd w:val="clear" w:color="auto" w:fill="auto"/>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3060"/>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color w:val="000000"/>
                <w:sz w:val="16"/>
                <w:szCs w:val="16"/>
                <w:lang w:eastAsia="es-CO"/>
              </w:rPr>
            </w:pPr>
            <w:r w:rsidRPr="00DD3C17">
              <w:rPr>
                <w:rFonts w:ascii="Arial" w:eastAsia="Times New Roman" w:hAnsi="Arial" w:cs="Arial"/>
                <w:color w:val="000000"/>
                <w:sz w:val="16"/>
                <w:szCs w:val="16"/>
                <w:lang w:eastAsia="es-CO"/>
              </w:rPr>
              <w:t>Efectuar las actuaciones técnicas para la evaluación, control y seguimiento a los PIGA.</w:t>
            </w:r>
          </w:p>
        </w:tc>
        <w:tc>
          <w:tcPr>
            <w:tcW w:w="4456" w:type="dxa"/>
            <w:vMerge w:val="restart"/>
            <w:shd w:val="clear" w:color="000000" w:fill="FFFFFF"/>
            <w:hideMark/>
          </w:tcPr>
          <w:p w:rsidR="00B7427E" w:rsidRPr="00DD3C17" w:rsidRDefault="00B7427E" w:rsidP="00B7427E">
            <w:pPr>
              <w:spacing w:after="24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La meta se estableció de la siguiente forma:</w:t>
            </w:r>
            <w:r w:rsidRPr="00DD3C17">
              <w:rPr>
                <w:rFonts w:ascii="Arial" w:eastAsia="Times New Roman" w:hAnsi="Arial" w:cs="Arial"/>
                <w:sz w:val="16"/>
                <w:szCs w:val="16"/>
                <w:lang w:eastAsia="es-CO"/>
              </w:rPr>
              <w:br/>
              <w:t>1) 25% la formulación de la metodología de evaluación, control y seguimiento para el 2015</w:t>
            </w:r>
            <w:r w:rsidRPr="00DD3C17">
              <w:rPr>
                <w:rFonts w:ascii="Arial" w:eastAsia="Times New Roman" w:hAnsi="Arial" w:cs="Arial"/>
                <w:sz w:val="16"/>
                <w:szCs w:val="16"/>
                <w:lang w:eastAsia="es-CO"/>
              </w:rPr>
              <w:br/>
              <w:t>2) 75% visitas de evaluación, control y seguimiento a las 92 entidades distritales y 2 voluntarias</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Se formuló la metodología de evaluación, control y seguimiento al PIGA para el 2015, dando cumplimiento a la meta del 25% formulada para el primer semestre, para ello se realizaron 18 mesas de trabajo y 2 ajustes posteriores al formato (1 en enero, 4  en febrero, 10 en marzo, 3 en abril y 2 ajustes posteriores al formato en este mismo mes) se tiene como evidencia el acta correspondiente y el documento de trabajo de cada fecha trabajada en el computador de la coordinación de PIGA.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lastRenderedPageBreak/>
              <w:t xml:space="preserve">Así mismo, para el año 2015, se tenía programado realizar  evaluación, control y seguimiento al PIGA de las 92 entidades del distrito y 2 entidades voluntarias, meta que se cumplió a un 100% (4 en abril, 16 en mayo, 11 en junio, 15 en julio, 14 en agosto, 13 en sep., 14 en octubre y 7 en noviembre).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 xml:space="preserve">Teniendo en cuenta lo anterior, el cumplimiento de la meta para los meses de enero, febrero y marzo hace referencia a la formulación de la metodología, para el mes de abril se </w:t>
            </w:r>
            <w:r w:rsidR="00BA190B" w:rsidRPr="00DD3C17">
              <w:rPr>
                <w:rFonts w:ascii="Arial" w:eastAsia="Times New Roman" w:hAnsi="Arial" w:cs="Arial"/>
                <w:sz w:val="16"/>
                <w:szCs w:val="16"/>
                <w:lang w:eastAsia="es-CO"/>
              </w:rPr>
              <w:t>presentó</w:t>
            </w:r>
            <w:r w:rsidRPr="00DD3C17">
              <w:rPr>
                <w:rFonts w:ascii="Arial" w:eastAsia="Times New Roman" w:hAnsi="Arial" w:cs="Arial"/>
                <w:sz w:val="16"/>
                <w:szCs w:val="16"/>
                <w:lang w:eastAsia="es-CO"/>
              </w:rPr>
              <w:t xml:space="preserve"> un avance en el cumplimiento de la meta de visitas de 3,19% y 6,25% en la formulación de la metodología para un total de cumplimiento del 9,44%, en mayo y junio la meta corresponde a la realización de las visitas con un 12,77%  y 8,78% respectivamente. </w:t>
            </w:r>
            <w:r w:rsidRPr="00DD3C17">
              <w:rPr>
                <w:rFonts w:ascii="Arial" w:eastAsia="Times New Roman" w:hAnsi="Arial" w:cs="Arial"/>
                <w:sz w:val="16"/>
                <w:szCs w:val="16"/>
                <w:lang w:eastAsia="es-CO"/>
              </w:rPr>
              <w:br/>
            </w:r>
            <w:r w:rsidRPr="00DD3C17">
              <w:rPr>
                <w:rFonts w:ascii="Arial" w:eastAsia="Times New Roman" w:hAnsi="Arial" w:cs="Arial"/>
                <w:sz w:val="16"/>
                <w:szCs w:val="16"/>
                <w:lang w:eastAsia="es-CO"/>
              </w:rPr>
              <w:br/>
              <w:t>Para el segundo semestre (julio-noviembre) se realizaron 15 visitas en julio, 14 en agosto, 13 en septiembre, 14 en octubre y 7 en noviembre, registrando un cumplimiento de la meta del 11,97% en julio, 11,17% en agosto y 10,37 en septiembre,11,17 en octubre y 5,59 en noviembre para un acumulado del año de 100%.</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Calidad ambiental del espacio público</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180/2015</w:t>
            </w:r>
            <w:r w:rsidRPr="00DD3C17">
              <w:rPr>
                <w:rFonts w:ascii="Arial" w:eastAsia="Times New Roman" w:hAnsi="Arial" w:cs="Arial"/>
                <w:sz w:val="16"/>
                <w:szCs w:val="16"/>
                <w:lang w:eastAsia="es-CO"/>
              </w:rPr>
              <w:br/>
              <w:t>225/2015</w:t>
            </w:r>
            <w:r w:rsidRPr="00DD3C17">
              <w:rPr>
                <w:rFonts w:ascii="Arial" w:eastAsia="Times New Roman" w:hAnsi="Arial" w:cs="Arial"/>
                <w:sz w:val="16"/>
                <w:szCs w:val="16"/>
                <w:lang w:eastAsia="es-CO"/>
              </w:rPr>
              <w:br/>
              <w:t>650/2015</w:t>
            </w:r>
            <w:r w:rsidRPr="00DD3C17">
              <w:rPr>
                <w:rFonts w:ascii="Arial" w:eastAsia="Times New Roman" w:hAnsi="Arial" w:cs="Arial"/>
                <w:sz w:val="16"/>
                <w:szCs w:val="16"/>
                <w:lang w:eastAsia="es-CO"/>
              </w:rPr>
              <w:br/>
              <w:t>660/2015</w:t>
            </w:r>
            <w:r w:rsidRPr="00DD3C17">
              <w:rPr>
                <w:rFonts w:ascii="Arial" w:eastAsia="Times New Roman" w:hAnsi="Arial" w:cs="Arial"/>
                <w:sz w:val="16"/>
                <w:szCs w:val="16"/>
                <w:lang w:eastAsia="es-CO"/>
              </w:rPr>
              <w:br/>
              <w:t>669/2015</w:t>
            </w:r>
            <w:r w:rsidRPr="00DD3C17">
              <w:rPr>
                <w:rFonts w:ascii="Arial" w:eastAsia="Times New Roman" w:hAnsi="Arial" w:cs="Arial"/>
                <w:sz w:val="16"/>
                <w:szCs w:val="16"/>
                <w:lang w:eastAsia="es-CO"/>
              </w:rPr>
              <w:br/>
              <w:t>859/2015</w:t>
            </w:r>
          </w:p>
        </w:tc>
        <w:tc>
          <w:tcPr>
            <w:tcW w:w="2745"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 las visitas realizadas a las sedes de las entidades ha sido posible evidenciar una gestión ambiental más real de las entidades objeto de evaluación.</w:t>
            </w:r>
          </w:p>
        </w:tc>
      </w:tr>
      <w:tr w:rsidR="00B7427E" w:rsidRPr="00DD3C17" w:rsidTr="00DD3C17">
        <w:trPr>
          <w:trHeight w:val="3060"/>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color w:val="000000"/>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8115"/>
        </w:trPr>
        <w:tc>
          <w:tcPr>
            <w:tcW w:w="1049"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826</w:t>
            </w:r>
          </w:p>
        </w:tc>
        <w:tc>
          <w:tcPr>
            <w:tcW w:w="1627" w:type="dxa"/>
            <w:vMerge w:val="restart"/>
            <w:shd w:val="clear" w:color="000000" w:fill="FFFFFF"/>
            <w:hideMark/>
          </w:tcPr>
          <w:p w:rsidR="00B7427E" w:rsidRPr="00DD3C17" w:rsidRDefault="00B7427E" w:rsidP="00B7427E">
            <w:pPr>
              <w:spacing w:after="0" w:line="240" w:lineRule="auto"/>
              <w:rPr>
                <w:rFonts w:ascii="Arial" w:eastAsia="Times New Roman" w:hAnsi="Arial" w:cs="Arial"/>
                <w:sz w:val="16"/>
                <w:szCs w:val="16"/>
                <w:lang w:eastAsia="es-CO"/>
              </w:rPr>
            </w:pPr>
            <w:r w:rsidRPr="00DD3C17">
              <w:rPr>
                <w:rFonts w:ascii="Arial" w:eastAsia="Times New Roman" w:hAnsi="Arial" w:cs="Arial"/>
                <w:sz w:val="16"/>
                <w:szCs w:val="16"/>
                <w:lang w:eastAsia="es-CO"/>
              </w:rPr>
              <w:t>Meta Plan de Desarrollo  "Gestionar el 100% de los escombros generados en la ciudad con técnicas modernas de aprovechamiento, tratamiento y disposición final."</w:t>
            </w:r>
          </w:p>
        </w:tc>
        <w:tc>
          <w:tcPr>
            <w:tcW w:w="1652" w:type="dxa"/>
            <w:vMerge w:val="restart"/>
            <w:shd w:val="clear" w:color="000000" w:fill="FFFFFF"/>
            <w:hideMark/>
          </w:tcPr>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Apoyar el acompañamiento técnico realizado por la Dirección de Gestión Ambiental a las entidades distritales en el marco del PIGA.​</w:t>
            </w:r>
          </w:p>
        </w:tc>
        <w:tc>
          <w:tcPr>
            <w:tcW w:w="4456" w:type="dxa"/>
            <w:vMerge w:val="restart"/>
            <w:shd w:val="clear" w:color="000000" w:fill="FFFFFF"/>
            <w:hideMark/>
          </w:tcPr>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Esta actividad está relacionada con lo programado desde la Dirección de Gestión Ambiental como acompañamiento técnico a las entidades del distrito, para lo cual se realizaron las siguientes actividades:</w:t>
            </w:r>
            <w:r w:rsidRPr="00DD3C17">
              <w:rPr>
                <w:rFonts w:ascii="Arial" w:eastAsia="Times New Roman" w:hAnsi="Arial" w:cs="Arial"/>
                <w:sz w:val="16"/>
                <w:szCs w:val="16"/>
                <w:lang w:eastAsia="es-CO"/>
              </w:rPr>
              <w:br/>
              <w:t>1) 27 y 29 de enero mesas de trabajo preparatorias para el taller de riesgos ambientales: Evidencia: Actas de reunión</w:t>
            </w:r>
            <w:r w:rsidRPr="00DD3C17">
              <w:rPr>
                <w:rFonts w:ascii="Arial" w:eastAsia="Times New Roman" w:hAnsi="Arial" w:cs="Arial"/>
                <w:sz w:val="16"/>
                <w:szCs w:val="16"/>
                <w:lang w:eastAsia="es-CO"/>
              </w:rPr>
              <w:br/>
              <w:t>2) 13 de febrero revisión de la Guía de Uso Eficiente de Agua formulada entre las dos áreas. Evidencia: Acta de reunión y Guía Revisada.</w:t>
            </w:r>
            <w:r w:rsidRPr="00DD3C17">
              <w:rPr>
                <w:rFonts w:ascii="Arial" w:eastAsia="Times New Roman" w:hAnsi="Arial" w:cs="Arial"/>
                <w:sz w:val="16"/>
                <w:szCs w:val="16"/>
                <w:lang w:eastAsia="es-CO"/>
              </w:rPr>
              <w:br/>
              <w:t>3) 17 de febrero realización del taller de riesgos ambientales dirigido a las entidades del distrito: Taller y listado de asistencia.</w:t>
            </w:r>
            <w:r w:rsidRPr="00DD3C17">
              <w:rPr>
                <w:rFonts w:ascii="Arial" w:eastAsia="Times New Roman" w:hAnsi="Arial" w:cs="Arial"/>
                <w:sz w:val="16"/>
                <w:szCs w:val="16"/>
                <w:lang w:eastAsia="es-CO"/>
              </w:rPr>
              <w:br/>
              <w:t>4) 27 de febrero Entrega del Reconocimiento Institucional a la Gestión Ambiental Pública en el D.C-RIGAP D.C a las entidades destacadas en la evaluación realizada desde la SCASP. Listado de asistencia, presentación y agenda.</w:t>
            </w:r>
            <w:r w:rsidRPr="00DD3C17">
              <w:rPr>
                <w:rFonts w:ascii="Arial" w:eastAsia="Times New Roman" w:hAnsi="Arial" w:cs="Arial"/>
                <w:sz w:val="16"/>
                <w:szCs w:val="16"/>
                <w:lang w:eastAsia="es-CO"/>
              </w:rPr>
              <w:br/>
              <w:t>5) La SCASP proporciono a través del correo institucional los requerimientos de la vigencia 2013-2014 con el fin de identificar las principales necesidades de las entidades del distrito como insumo para las mesas de trabajo desarrolladas por la DGA:</w:t>
            </w:r>
          </w:p>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br/>
              <w:t>- Mayo: 6 mesas de trabajo con asistencia de 21 entidades</w:t>
            </w:r>
            <w:r w:rsidRPr="00DD3C17">
              <w:rPr>
                <w:rFonts w:ascii="Arial" w:eastAsia="Times New Roman" w:hAnsi="Arial" w:cs="Arial"/>
                <w:sz w:val="16"/>
                <w:szCs w:val="16"/>
                <w:lang w:eastAsia="es-CO"/>
              </w:rPr>
              <w:br/>
              <w:t>-Junio: 7 mesas de trabajo con asistencia de 46 entidades.</w:t>
            </w:r>
            <w:r w:rsidRPr="00DD3C17">
              <w:rPr>
                <w:rFonts w:ascii="Arial" w:eastAsia="Times New Roman" w:hAnsi="Arial" w:cs="Arial"/>
                <w:sz w:val="16"/>
                <w:szCs w:val="16"/>
                <w:lang w:eastAsia="es-CO"/>
              </w:rPr>
              <w:br/>
              <w:t>Evidencias: Correo electrónico, listados de asistencia de las entidades distritales (reposa en el archivo de DGA)</w:t>
            </w:r>
            <w:r w:rsidRPr="00DD3C17">
              <w:rPr>
                <w:rFonts w:ascii="Arial" w:eastAsia="Times New Roman" w:hAnsi="Arial" w:cs="Arial"/>
                <w:sz w:val="16"/>
                <w:szCs w:val="16"/>
                <w:lang w:eastAsia="es-CO"/>
              </w:rPr>
              <w:br/>
              <w:t xml:space="preserve">En el mes de abril se realizaron 2 actividades de apoyo al Programa de Hospitales Verdes liderado por la SDS: Se realizó una reunión de articulación PIGA-Hospitales verdes el 24.04.2015 y se presentaron los resultados de la evaluación, control y seguimiento al PIGA vigencia 2013-2014 en el comité de gerentes de los Hospitales del </w:t>
            </w:r>
            <w:r w:rsidR="00BA190B">
              <w:rPr>
                <w:rFonts w:ascii="Arial" w:eastAsia="Times New Roman" w:hAnsi="Arial" w:cs="Arial"/>
                <w:sz w:val="16"/>
                <w:szCs w:val="16"/>
                <w:lang w:eastAsia="es-CO"/>
              </w:rPr>
              <w:t>Distrito desarrollado el día 28/04/</w:t>
            </w:r>
            <w:r w:rsidRPr="00DD3C17">
              <w:rPr>
                <w:rFonts w:ascii="Arial" w:eastAsia="Times New Roman" w:hAnsi="Arial" w:cs="Arial"/>
                <w:sz w:val="16"/>
                <w:szCs w:val="16"/>
                <w:lang w:eastAsia="es-CO"/>
              </w:rPr>
              <w:t>2015. Evidencia: Listados de asistencia y acta de reunión.</w:t>
            </w:r>
            <w:r w:rsidRPr="00DD3C17">
              <w:rPr>
                <w:rFonts w:ascii="Arial" w:eastAsia="Times New Roman" w:hAnsi="Arial" w:cs="Arial"/>
                <w:sz w:val="16"/>
                <w:szCs w:val="16"/>
                <w:lang w:eastAsia="es-CO"/>
              </w:rPr>
              <w:br/>
              <w:t>También se desarrollaron acciones de articulación con la Secretaria Distrital de Gobierno con el fin de fortalecer la gestión ambiental de las Alcaldías Locales:</w:t>
            </w:r>
            <w:r w:rsidRPr="00DD3C17">
              <w:rPr>
                <w:rFonts w:ascii="Arial" w:eastAsia="Times New Roman" w:hAnsi="Arial" w:cs="Arial"/>
                <w:sz w:val="16"/>
                <w:szCs w:val="16"/>
                <w:lang w:eastAsia="es-CO"/>
              </w:rPr>
              <w:br/>
              <w:t xml:space="preserve">- Abril: El día 21 de abril se desarrolló una reunión con la Secretaria Distrital de Gobierno, DGA y SCASP con el fin de presentarles la metodología de evaluación, control y seguimiento al PIGA vigencia 2014-2015, se remitió el cronograma de visitas a la Secretaria de Gobierno, con el fin de coordinar los acompañamientos a cada una de las Alcaldías Locales y la comunicación es constante. Evidencia: </w:t>
            </w:r>
            <w:r w:rsidRPr="00DD3C17">
              <w:rPr>
                <w:rFonts w:ascii="Arial" w:eastAsia="Times New Roman" w:hAnsi="Arial" w:cs="Arial"/>
                <w:sz w:val="16"/>
                <w:szCs w:val="16"/>
                <w:lang w:eastAsia="es-CO"/>
              </w:rPr>
              <w:lastRenderedPageBreak/>
              <w:t>Acta de reunión y correo.</w:t>
            </w:r>
            <w:r w:rsidRPr="00DD3C17">
              <w:rPr>
                <w:rFonts w:ascii="Arial" w:eastAsia="Times New Roman" w:hAnsi="Arial" w:cs="Arial"/>
                <w:sz w:val="16"/>
                <w:szCs w:val="16"/>
                <w:lang w:eastAsia="es-CO"/>
              </w:rPr>
              <w:br/>
              <w:t>El 22 de junio se desarrolló la mesa RESPEL entre las áreas de PIGA y Hospitalarios de la SCASP, SRHS, SEGAE y DGA con el fin de unificar criterios respecto al manejo de tóner de polvo seco, seguimiento al transporte de RESPEL y certificados de disposición final de Eco capital principalmente.</w:t>
            </w:r>
            <w:r>
              <w:rPr>
                <w:rFonts w:ascii="Arial" w:eastAsia="Times New Roman" w:hAnsi="Arial" w:cs="Arial"/>
                <w:sz w:val="16"/>
                <w:szCs w:val="16"/>
                <w:lang w:eastAsia="es-CO"/>
              </w:rPr>
              <w:t xml:space="preserve"> </w:t>
            </w:r>
            <w:r w:rsidRPr="00DD3C17">
              <w:rPr>
                <w:rFonts w:ascii="Arial" w:eastAsia="Times New Roman" w:hAnsi="Arial" w:cs="Arial"/>
                <w:sz w:val="16"/>
                <w:szCs w:val="16"/>
                <w:lang w:eastAsia="es-CO"/>
              </w:rPr>
              <w:t>Evidencia:</w:t>
            </w:r>
            <w:r>
              <w:rPr>
                <w:rFonts w:ascii="Arial" w:eastAsia="Times New Roman" w:hAnsi="Arial" w:cs="Arial"/>
                <w:sz w:val="16"/>
                <w:szCs w:val="16"/>
                <w:lang w:eastAsia="es-CO"/>
              </w:rPr>
              <w:t xml:space="preserve"> </w:t>
            </w:r>
            <w:r w:rsidRPr="00DD3C17">
              <w:rPr>
                <w:rFonts w:ascii="Arial" w:eastAsia="Times New Roman" w:hAnsi="Arial" w:cs="Arial"/>
                <w:sz w:val="16"/>
                <w:szCs w:val="16"/>
                <w:lang w:eastAsia="es-CO"/>
              </w:rPr>
              <w:t>Acta de reunión</w:t>
            </w:r>
            <w:r>
              <w:rPr>
                <w:rFonts w:ascii="Arial" w:eastAsia="Times New Roman" w:hAnsi="Arial" w:cs="Arial"/>
                <w:sz w:val="16"/>
                <w:szCs w:val="16"/>
                <w:lang w:eastAsia="es-CO"/>
              </w:rPr>
              <w:t>.</w:t>
            </w:r>
          </w:p>
          <w:p w:rsidR="00B7427E" w:rsidRDefault="00B7427E" w:rsidP="00B7427E">
            <w:pPr>
              <w:spacing w:after="0" w:line="240" w:lineRule="auto"/>
              <w:jc w:val="both"/>
              <w:rPr>
                <w:rFonts w:ascii="Arial" w:eastAsia="Times New Roman" w:hAnsi="Arial" w:cs="Arial"/>
                <w:sz w:val="16"/>
                <w:szCs w:val="16"/>
                <w:lang w:eastAsia="es-CO"/>
              </w:rPr>
            </w:pPr>
          </w:p>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Para el segundo semestre se desarrollaron las siguientes acciones:</w:t>
            </w:r>
            <w:r>
              <w:rPr>
                <w:rFonts w:ascii="Arial" w:eastAsia="Times New Roman" w:hAnsi="Arial" w:cs="Arial"/>
                <w:sz w:val="16"/>
                <w:szCs w:val="16"/>
                <w:lang w:eastAsia="es-CO"/>
              </w:rPr>
              <w:t xml:space="preserve"> </w:t>
            </w:r>
            <w:r w:rsidRPr="00DD3C17">
              <w:rPr>
                <w:rFonts w:ascii="Arial" w:eastAsia="Times New Roman" w:hAnsi="Arial" w:cs="Arial"/>
                <w:sz w:val="16"/>
                <w:szCs w:val="16"/>
                <w:lang w:eastAsia="es-CO"/>
              </w:rPr>
              <w:t>En julio se hizo entrega a la DGA de la información correspondiente a los resultados de las visitas de evaluación, control y seguimiento con corte a junio 2015. Evidencia: Correo electrónico</w:t>
            </w:r>
          </w:p>
          <w:p w:rsidR="00B7427E" w:rsidRDefault="00B7427E" w:rsidP="00B7427E">
            <w:pPr>
              <w:spacing w:after="0" w:line="240" w:lineRule="auto"/>
              <w:jc w:val="both"/>
              <w:rPr>
                <w:rFonts w:ascii="Arial" w:eastAsia="Times New Roman" w:hAnsi="Arial" w:cs="Arial"/>
                <w:sz w:val="16"/>
                <w:szCs w:val="16"/>
                <w:lang w:eastAsia="es-CO"/>
              </w:rPr>
            </w:pPr>
          </w:p>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En el Drive se subieron las actas de las visitas realizadas por la SCASP, con el fin de que la DGA tenga acceso a la información y pueda priorizar las entidades que presentaron puntajes bajos para prestarles la asesoría necesaria y mejorar la implementación de su PIGA.</w:t>
            </w:r>
            <w:r w:rsidRPr="00DD3C17">
              <w:rPr>
                <w:rFonts w:ascii="Arial" w:eastAsia="Times New Roman" w:hAnsi="Arial" w:cs="Arial"/>
                <w:sz w:val="16"/>
                <w:szCs w:val="16"/>
                <w:lang w:eastAsia="es-CO"/>
              </w:rPr>
              <w:br/>
              <w:t>Julio: 4 mesas de trabajo desarrolladas por DGA con asistencia de 19 entidades.  Evidencia: Actas de reunión (archivo DGA)</w:t>
            </w:r>
            <w:r>
              <w:rPr>
                <w:rFonts w:ascii="Arial" w:eastAsia="Times New Roman" w:hAnsi="Arial" w:cs="Arial"/>
                <w:sz w:val="16"/>
                <w:szCs w:val="16"/>
                <w:lang w:eastAsia="es-CO"/>
              </w:rPr>
              <w:t xml:space="preserve"> </w:t>
            </w:r>
          </w:p>
          <w:p w:rsidR="00B7427E" w:rsidRDefault="00B7427E" w:rsidP="00B7427E">
            <w:pPr>
              <w:spacing w:after="0" w:line="240" w:lineRule="auto"/>
              <w:jc w:val="both"/>
              <w:rPr>
                <w:rFonts w:ascii="Arial" w:eastAsia="Times New Roman" w:hAnsi="Arial" w:cs="Arial"/>
                <w:sz w:val="16"/>
                <w:szCs w:val="16"/>
                <w:lang w:eastAsia="es-CO"/>
              </w:rPr>
            </w:pPr>
          </w:p>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Agosto: Para el mes de agosto la DGA no se realizó mesas de trabajo.</w:t>
            </w:r>
          </w:p>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br/>
              <w:t>Septiembre: Se desarrolló una mesa de trabajo conjuntamente con la SDS dirigida a los 22 hospitales del distrito, con el fin de que la SCASP socializará los resultados de las visitas de evaluación, control y seguimiento al PIGA, vigencia 2014-2015  y destacar las principales problemáticas evidenciadas, como insumo para el trámite de un proyecto de inversión por parte de la SDS.</w:t>
            </w:r>
            <w:r w:rsidRPr="00DD3C17">
              <w:rPr>
                <w:rFonts w:ascii="Arial" w:eastAsia="Times New Roman" w:hAnsi="Arial" w:cs="Arial"/>
                <w:sz w:val="16"/>
                <w:szCs w:val="16"/>
                <w:lang w:eastAsia="es-CO"/>
              </w:rPr>
              <w:br/>
              <w:t>Teniendo en cuenta, las observaciones realizadas por la SPPA respecto a la información reportada en la herramienta STORM, se estableció un compromiso por parte de  los hospitales de ajustar la información de los años 2012-2015.</w:t>
            </w:r>
            <w:r w:rsidRPr="00DD3C17">
              <w:rPr>
                <w:rFonts w:ascii="Arial" w:eastAsia="Times New Roman" w:hAnsi="Arial" w:cs="Arial"/>
                <w:sz w:val="16"/>
                <w:szCs w:val="16"/>
                <w:lang w:eastAsia="es-CO"/>
              </w:rPr>
              <w:br/>
              <w:t>Las entidades direccionarán a la SDS las dificultades que han tenido con los gestores encargados de la recolección de los residuos hospitalarios a la SDS, quien remitirá la información consolidada a la SRHS.</w:t>
            </w:r>
          </w:p>
          <w:p w:rsidR="00B7427E"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br/>
              <w:t xml:space="preserve">Octubre: Se realizó una mesa de trabajo el día 13.10.2015, </w:t>
            </w:r>
            <w:r w:rsidRPr="00DD3C17">
              <w:rPr>
                <w:rFonts w:ascii="Arial" w:eastAsia="Times New Roman" w:hAnsi="Arial" w:cs="Arial"/>
                <w:sz w:val="16"/>
                <w:szCs w:val="16"/>
                <w:lang w:eastAsia="es-CO"/>
              </w:rPr>
              <w:lastRenderedPageBreak/>
              <w:t>con el objetivo de determinar el contenido y la metodología a utilizar respecto a la capacitación de formulación plan de acción y matriz de identificación de aspectos y valoración de impactos ambientales, dirigido a las entidades del distrito.</w:t>
            </w:r>
            <w:r w:rsidRPr="00DD3C17">
              <w:rPr>
                <w:rFonts w:ascii="Arial" w:eastAsia="Times New Roman" w:hAnsi="Arial" w:cs="Arial"/>
                <w:sz w:val="16"/>
                <w:szCs w:val="16"/>
                <w:lang w:eastAsia="es-CO"/>
              </w:rPr>
              <w:br/>
              <w:t>El día 19.10.2015 y 05.11.2015 se realizó una mesa de trabajo con las entidades del distrito con el fin de capacitarlos respecto a la formulación del plan de acción y la matriz de identificación de aspectos y valoración de impactos ambientales.</w:t>
            </w:r>
            <w:r w:rsidRPr="00DD3C17">
              <w:rPr>
                <w:rFonts w:ascii="Arial" w:eastAsia="Times New Roman" w:hAnsi="Arial" w:cs="Arial"/>
                <w:sz w:val="16"/>
                <w:szCs w:val="16"/>
                <w:lang w:eastAsia="es-CO"/>
              </w:rPr>
              <w:br/>
              <w:t>El día 26.10.2015 se desarrolló una reunión con el fin de definir si para la vigencia se realizará el reconocimiento PIGA a las entidades del distrito y que material será entregado.</w:t>
            </w:r>
            <w:r w:rsidRPr="00DD3C17">
              <w:rPr>
                <w:rFonts w:ascii="Arial" w:eastAsia="Times New Roman" w:hAnsi="Arial" w:cs="Arial"/>
                <w:sz w:val="16"/>
                <w:szCs w:val="16"/>
                <w:lang w:eastAsia="es-CO"/>
              </w:rPr>
              <w:br/>
              <w:t>Noviembre: El día 12 de noviembre se remitió a los profesionales de la DGA, Adriana Carvajal y Jaime Barrera la información correspondiente a los puntajes de implementación del PIGA obtenidos por las entidades del distrito en la evaluación de la vigencia 2014-2015.</w:t>
            </w:r>
            <w:r w:rsidRPr="00DD3C17">
              <w:rPr>
                <w:rFonts w:ascii="Arial" w:eastAsia="Times New Roman" w:hAnsi="Arial" w:cs="Arial"/>
                <w:sz w:val="16"/>
                <w:szCs w:val="16"/>
                <w:lang w:eastAsia="es-CO"/>
              </w:rPr>
              <w:br/>
              <w:t xml:space="preserve">Se realizó una mesa PIGA el día 11.11.2015 en la cual se trataron temas como: • Revisión del material a entregar a las entidades para el cierre de PIGA 2015, • Categorías para el desarrollo del reconocimiento a las entidades distritales, • </w:t>
            </w:r>
          </w:p>
          <w:p w:rsidR="00B7427E" w:rsidRDefault="00B7427E" w:rsidP="00B7427E">
            <w:pPr>
              <w:spacing w:after="0" w:line="240" w:lineRule="auto"/>
              <w:jc w:val="both"/>
              <w:rPr>
                <w:rFonts w:ascii="Arial" w:eastAsia="Times New Roman" w:hAnsi="Arial" w:cs="Arial"/>
                <w:sz w:val="16"/>
                <w:szCs w:val="16"/>
                <w:lang w:eastAsia="es-CO"/>
              </w:rPr>
            </w:pPr>
          </w:p>
          <w:p w:rsidR="00B7427E" w:rsidRPr="00DD3C17" w:rsidRDefault="00B7427E" w:rsidP="00B7427E">
            <w:pPr>
              <w:spacing w:after="0" w:line="240" w:lineRule="auto"/>
              <w:jc w:val="both"/>
              <w:rPr>
                <w:rFonts w:ascii="Arial" w:eastAsia="Times New Roman" w:hAnsi="Arial" w:cs="Arial"/>
                <w:sz w:val="16"/>
                <w:szCs w:val="16"/>
                <w:lang w:eastAsia="es-CO"/>
              </w:rPr>
            </w:pPr>
            <w:r w:rsidRPr="00DD3C17">
              <w:rPr>
                <w:rFonts w:ascii="Arial" w:eastAsia="Times New Roman" w:hAnsi="Arial" w:cs="Arial"/>
                <w:sz w:val="16"/>
                <w:szCs w:val="16"/>
                <w:lang w:eastAsia="es-CO"/>
              </w:rPr>
              <w:t>Matriz de IAIA y plan de acción.</w:t>
            </w:r>
            <w:r w:rsidRPr="00DD3C17">
              <w:rPr>
                <w:rFonts w:ascii="Arial" w:eastAsia="Times New Roman" w:hAnsi="Arial" w:cs="Arial"/>
                <w:sz w:val="16"/>
                <w:szCs w:val="16"/>
                <w:lang w:eastAsia="es-CO"/>
              </w:rPr>
              <w:br/>
              <w:t>Se realizó una reunión el día 26.11.2015 con Sara Salcedo de la oficina asesora de comunicaciones y Adriana Carvajal de la DGA, con el fin de definir los diseños de los reconocimientos, diplomas y agendas para el evento con las entidades a realizarse el día 14.01.2016.</w:t>
            </w:r>
            <w:r w:rsidRPr="00DD3C17">
              <w:rPr>
                <w:rFonts w:ascii="Arial" w:eastAsia="Times New Roman" w:hAnsi="Arial" w:cs="Arial"/>
                <w:sz w:val="16"/>
                <w:szCs w:val="16"/>
                <w:lang w:eastAsia="es-CO"/>
              </w:rPr>
              <w:br/>
              <w:t>Evidencias:</w:t>
            </w:r>
            <w:r>
              <w:rPr>
                <w:rFonts w:ascii="Arial" w:eastAsia="Times New Roman" w:hAnsi="Arial" w:cs="Arial"/>
                <w:sz w:val="16"/>
                <w:szCs w:val="16"/>
                <w:lang w:eastAsia="es-CO"/>
              </w:rPr>
              <w:t xml:space="preserve"> </w:t>
            </w:r>
            <w:r w:rsidRPr="00DD3C17">
              <w:rPr>
                <w:rFonts w:ascii="Arial" w:eastAsia="Times New Roman" w:hAnsi="Arial" w:cs="Arial"/>
                <w:sz w:val="16"/>
                <w:szCs w:val="16"/>
                <w:lang w:eastAsia="es-CO"/>
              </w:rPr>
              <w:t>Actas de reunión</w:t>
            </w:r>
          </w:p>
        </w:tc>
        <w:tc>
          <w:tcPr>
            <w:tcW w:w="995" w:type="dxa"/>
            <w:vMerge w:val="restart"/>
            <w:shd w:val="clear" w:color="000000" w:fill="FFFFFF"/>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lastRenderedPageBreak/>
              <w:t>Calidad ambiental del espacio público</w:t>
            </w:r>
          </w:p>
        </w:tc>
        <w:tc>
          <w:tcPr>
            <w:tcW w:w="1260" w:type="dxa"/>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Control y vigilancia</w:t>
            </w:r>
          </w:p>
        </w:tc>
        <w:tc>
          <w:tcPr>
            <w:tcW w:w="3976" w:type="dxa"/>
            <w:gridSpan w:val="4"/>
            <w:vMerge w:val="restart"/>
            <w:shd w:val="clear" w:color="auto" w:fill="auto"/>
            <w:hideMark/>
          </w:tcPr>
          <w:p w:rsidR="00B7427E" w:rsidRPr="00DD3C17" w:rsidRDefault="00B7427E" w:rsidP="00B7427E">
            <w:pPr>
              <w:spacing w:after="0" w:line="240" w:lineRule="auto"/>
              <w:jc w:val="center"/>
              <w:rPr>
                <w:rFonts w:ascii="Arial" w:eastAsia="Times New Roman" w:hAnsi="Arial" w:cs="Arial"/>
                <w:sz w:val="16"/>
                <w:szCs w:val="16"/>
                <w:lang w:eastAsia="es-CO"/>
              </w:rPr>
            </w:pPr>
            <w:r w:rsidRPr="00DD3C17">
              <w:rPr>
                <w:rFonts w:ascii="Arial" w:eastAsia="Times New Roman" w:hAnsi="Arial" w:cs="Arial"/>
                <w:sz w:val="16"/>
                <w:szCs w:val="16"/>
                <w:lang w:eastAsia="es-CO"/>
              </w:rPr>
              <w:t>180/2015</w:t>
            </w:r>
            <w:r w:rsidRPr="00DD3C17">
              <w:rPr>
                <w:rFonts w:ascii="Arial" w:eastAsia="Times New Roman" w:hAnsi="Arial" w:cs="Arial"/>
                <w:sz w:val="16"/>
                <w:szCs w:val="16"/>
                <w:lang w:eastAsia="es-CO"/>
              </w:rPr>
              <w:br/>
              <w:t>225/2015</w:t>
            </w:r>
            <w:r w:rsidRPr="00DD3C17">
              <w:rPr>
                <w:rFonts w:ascii="Arial" w:eastAsia="Times New Roman" w:hAnsi="Arial" w:cs="Arial"/>
                <w:sz w:val="16"/>
                <w:szCs w:val="16"/>
                <w:lang w:eastAsia="es-CO"/>
              </w:rPr>
              <w:br/>
              <w:t>650/2015</w:t>
            </w:r>
            <w:r w:rsidRPr="00DD3C17">
              <w:rPr>
                <w:rFonts w:ascii="Arial" w:eastAsia="Times New Roman" w:hAnsi="Arial" w:cs="Arial"/>
                <w:sz w:val="16"/>
                <w:szCs w:val="16"/>
                <w:lang w:eastAsia="es-CO"/>
              </w:rPr>
              <w:br/>
              <w:t>660/2015</w:t>
            </w:r>
            <w:r w:rsidRPr="00DD3C17">
              <w:rPr>
                <w:rFonts w:ascii="Arial" w:eastAsia="Times New Roman" w:hAnsi="Arial" w:cs="Arial"/>
                <w:sz w:val="16"/>
                <w:szCs w:val="16"/>
                <w:lang w:eastAsia="es-CO"/>
              </w:rPr>
              <w:br/>
              <w:t>669/2015</w:t>
            </w:r>
            <w:r w:rsidRPr="00DD3C17">
              <w:rPr>
                <w:rFonts w:ascii="Arial" w:eastAsia="Times New Roman" w:hAnsi="Arial" w:cs="Arial"/>
                <w:sz w:val="16"/>
                <w:szCs w:val="16"/>
                <w:lang w:eastAsia="es-CO"/>
              </w:rPr>
              <w:br/>
              <w:t>859/2015</w:t>
            </w: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r w:rsidR="00B7427E" w:rsidRPr="00DD3C17" w:rsidTr="00DD3C17">
        <w:trPr>
          <w:trHeight w:val="7140"/>
        </w:trPr>
        <w:tc>
          <w:tcPr>
            <w:tcW w:w="1049"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27"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652"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4456"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99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1260"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3976" w:type="dxa"/>
            <w:gridSpan w:val="4"/>
            <w:vMerge/>
            <w:hideMark/>
          </w:tcPr>
          <w:p w:rsidR="00B7427E" w:rsidRPr="00DD3C17" w:rsidRDefault="00B7427E" w:rsidP="00B7427E">
            <w:pPr>
              <w:spacing w:after="0" w:line="240" w:lineRule="auto"/>
              <w:rPr>
                <w:rFonts w:ascii="Arial" w:eastAsia="Times New Roman" w:hAnsi="Arial" w:cs="Arial"/>
                <w:sz w:val="16"/>
                <w:szCs w:val="16"/>
                <w:lang w:eastAsia="es-CO"/>
              </w:rPr>
            </w:pPr>
          </w:p>
        </w:tc>
        <w:tc>
          <w:tcPr>
            <w:tcW w:w="2745" w:type="dxa"/>
            <w:vMerge/>
            <w:hideMark/>
          </w:tcPr>
          <w:p w:rsidR="00B7427E" w:rsidRPr="00DD3C17" w:rsidRDefault="00B7427E" w:rsidP="00B7427E">
            <w:pPr>
              <w:spacing w:after="0" w:line="240" w:lineRule="auto"/>
              <w:rPr>
                <w:rFonts w:ascii="Arial" w:eastAsia="Times New Roman" w:hAnsi="Arial" w:cs="Arial"/>
                <w:sz w:val="16"/>
                <w:szCs w:val="16"/>
                <w:lang w:eastAsia="es-CO"/>
              </w:rPr>
            </w:pPr>
          </w:p>
        </w:tc>
      </w:tr>
    </w:tbl>
    <w:p w:rsidR="00F73EEB" w:rsidRDefault="00DD3C17" w:rsidP="007562F0">
      <w:pPr>
        <w:rPr>
          <w:rFonts w:ascii="Arial" w:hAnsi="Arial" w:cs="Arial"/>
          <w:b/>
        </w:rPr>
      </w:pPr>
      <w:r>
        <w:rPr>
          <w:rFonts w:ascii="Arial" w:hAnsi="Arial" w:cs="Arial"/>
          <w:b/>
        </w:rPr>
        <w:lastRenderedPageBreak/>
        <w:fldChar w:fldCharType="end"/>
      </w:r>
    </w:p>
    <w:tbl>
      <w:tblPr>
        <w:tblStyle w:val="Tablaconcuadrcula"/>
        <w:tblW w:w="0" w:type="auto"/>
        <w:tblLook w:val="04A0" w:firstRow="1" w:lastRow="0" w:firstColumn="1" w:lastColumn="0" w:noHBand="0" w:noVBand="1"/>
      </w:tblPr>
      <w:tblGrid>
        <w:gridCol w:w="1780"/>
        <w:gridCol w:w="1804"/>
        <w:gridCol w:w="2134"/>
        <w:gridCol w:w="2499"/>
        <w:gridCol w:w="2268"/>
        <w:gridCol w:w="1634"/>
        <w:gridCol w:w="2902"/>
        <w:gridCol w:w="2739"/>
      </w:tblGrid>
      <w:tr w:rsidR="00E81E02" w:rsidRPr="007072DA" w:rsidTr="00E81E02">
        <w:trPr>
          <w:trHeight w:val="696"/>
          <w:tblHeader/>
        </w:trPr>
        <w:tc>
          <w:tcPr>
            <w:tcW w:w="17760" w:type="dxa"/>
            <w:gridSpan w:val="8"/>
            <w:shd w:val="clear" w:color="auto" w:fill="BDD6EE" w:themeFill="accent1" w:themeFillTint="66"/>
            <w:vAlign w:val="center"/>
          </w:tcPr>
          <w:p w:rsidR="00E81E02" w:rsidRPr="000819FE" w:rsidRDefault="000819FE" w:rsidP="000819FE">
            <w:pPr>
              <w:jc w:val="center"/>
              <w:rPr>
                <w:rFonts w:ascii="Arial" w:hAnsi="Arial" w:cs="Arial"/>
                <w:b/>
                <w:sz w:val="24"/>
              </w:rPr>
            </w:pPr>
            <w:r>
              <w:rPr>
                <w:rFonts w:ascii="Arial" w:hAnsi="Arial" w:cs="Arial"/>
                <w:b/>
                <w:sz w:val="24"/>
              </w:rPr>
              <w:t xml:space="preserve">819. </w:t>
            </w:r>
            <w:r w:rsidR="00E81E02" w:rsidRPr="000819FE">
              <w:rPr>
                <w:rFonts w:ascii="Arial" w:hAnsi="Arial" w:cs="Arial"/>
                <w:b/>
                <w:sz w:val="24"/>
              </w:rPr>
              <w:t>EVALUACIÓN, CONTROL, SEGUIMIENTO Y CONSERVACIÓN DE LA FLORA, FAUNA SILVESTRE Y ARBOLADO URBANO.</w:t>
            </w:r>
          </w:p>
        </w:tc>
      </w:tr>
      <w:tr w:rsidR="00E81E02" w:rsidRPr="007072DA" w:rsidTr="00E81E02">
        <w:trPr>
          <w:trHeight w:val="1890"/>
          <w:tblHeader/>
        </w:trPr>
        <w:tc>
          <w:tcPr>
            <w:tcW w:w="1780"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PROYECTO DE INVERSIÓN</w:t>
            </w:r>
          </w:p>
        </w:tc>
        <w:tc>
          <w:tcPr>
            <w:tcW w:w="1804"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META PACA</w:t>
            </w:r>
          </w:p>
        </w:tc>
        <w:tc>
          <w:tcPr>
            <w:tcW w:w="2134"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ACTIVIDADES PROGRAMADAS</w:t>
            </w:r>
          </w:p>
        </w:tc>
        <w:tc>
          <w:tcPr>
            <w:tcW w:w="2499"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ACTIVIDADES EJECUTADAS</w:t>
            </w:r>
          </w:p>
        </w:tc>
        <w:tc>
          <w:tcPr>
            <w:tcW w:w="2268"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OBJETIVO PGA</w:t>
            </w:r>
          </w:p>
        </w:tc>
        <w:tc>
          <w:tcPr>
            <w:tcW w:w="1634"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ESTRATEGIA PGA</w:t>
            </w:r>
          </w:p>
        </w:tc>
        <w:tc>
          <w:tcPr>
            <w:tcW w:w="2902"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CONTRATOS MEDIANTE LOS CUALES SE EJECUTÒ LA ACTIVIDAD</w:t>
            </w:r>
          </w:p>
        </w:tc>
        <w:tc>
          <w:tcPr>
            <w:tcW w:w="2739" w:type="dxa"/>
            <w:shd w:val="clear" w:color="auto" w:fill="BDD6EE" w:themeFill="accent1" w:themeFillTint="66"/>
            <w:vAlign w:val="center"/>
          </w:tcPr>
          <w:p w:rsidR="00E81E02" w:rsidRPr="007072DA" w:rsidRDefault="00E81E02" w:rsidP="00E81E02">
            <w:pPr>
              <w:jc w:val="both"/>
              <w:rPr>
                <w:rFonts w:ascii="Arial" w:hAnsi="Arial" w:cs="Arial"/>
                <w:b/>
                <w:bCs/>
                <w:sz w:val="16"/>
                <w:szCs w:val="16"/>
              </w:rPr>
            </w:pPr>
            <w:r w:rsidRPr="007072DA">
              <w:rPr>
                <w:rFonts w:ascii="Arial" w:hAnsi="Arial" w:cs="Arial"/>
                <w:b/>
                <w:bCs/>
                <w:sz w:val="16"/>
                <w:szCs w:val="16"/>
              </w:rPr>
              <w:t>COHERENCIA Y CONCORDANCIA QUE GUARDA CADA ACTIVIDAD CON LOS OBJETIVOS Y ESTRATEGIAS DEL PLAN DE GESTIÓN AMBIENTAL DEL DISTRITO CAPITAL, QUE SIRVIERON DE JUSTIFICACIÓN PARA SU INCORPORACIÓN DENTRO DE PLAN DE ACCIÓN CUATRIENAL AMBIENTAL-PACA</w:t>
            </w:r>
          </w:p>
        </w:tc>
      </w:tr>
      <w:tr w:rsidR="000B34CE" w:rsidRPr="007072DA" w:rsidTr="00F73EEB">
        <w:trPr>
          <w:trHeight w:val="283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Realizar seguimiento y control a procesos productivos, de inventarios, de actividad industrial,  de reportes del libro de operaciones y expedición de certificaciones, del recurso flora silvestre.</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Durante la vigencia, el recurso Flora presento 4,440 actuaciones correspondientes a  operativos, visitas de evaluación,  seguimientos  con visita técnica, decomisos adelantados en diligencias diferentes a operativos, rondas efectivas en las oficinas de enlace, inventarios de seguimientos, reporte de seguimiento del registro libro de operaciones revisados evaluados e ingresados al SIA,   cites, no cites, salvoconductos expedidos, establecimientos en el libro de operaciones registrados ante la autoridad competente,  capacitaciones grupales e industrias certificadas. </w:t>
            </w:r>
          </w:p>
        </w:tc>
        <w:tc>
          <w:tcPr>
            <w:tcW w:w="2268"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30/2015, 32/2015, 98/2015, 257/2015, 112/2015, 118/2015, 33/2015, 325/2015, 41/2015, 125/2015, 1162/2015, 945/2015</w:t>
            </w:r>
          </w:p>
        </w:tc>
        <w:tc>
          <w:tcPr>
            <w:tcW w:w="2739" w:type="dxa"/>
            <w:hideMark/>
          </w:tcPr>
          <w:p w:rsidR="000B34CE" w:rsidRPr="007072DA" w:rsidRDefault="000B34CE" w:rsidP="000B34CE">
            <w:pPr>
              <w:rPr>
                <w:rFonts w:ascii="Arial" w:hAnsi="Arial" w:cs="Arial"/>
                <w:sz w:val="16"/>
                <w:szCs w:val="16"/>
              </w:rPr>
            </w:pPr>
            <w:r w:rsidRPr="007072DA">
              <w:rPr>
                <w:rFonts w:ascii="Arial" w:hAnsi="Arial" w:cs="Arial"/>
                <w:sz w:val="16"/>
                <w:szCs w:val="16"/>
              </w:rPr>
              <w:t>Con relación a la flora, disminución del impacto y presión sobre los ecosistemas nacionales, gracias al control que ejerce la SDA sobre el aprovechamiento ilegal de recursos maderables y no maderables.</w:t>
            </w:r>
          </w:p>
        </w:tc>
      </w:tr>
      <w:tr w:rsidR="000B34CE" w:rsidRPr="007072DA" w:rsidTr="00F73EEB">
        <w:trPr>
          <w:trHeight w:val="1920"/>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Realizar operaciones de control, rondas en terminales de transporte, expedición de salvoconductos, jornadas de capacitación, evaluación y seguimiento a permisos, del recurso fauna silvestre. </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En el  recurso Fauna durante la vigencia se realizaron 7658 actuaciones dentro de las cuales </w:t>
            </w:r>
            <w:r w:rsidR="000D31B3" w:rsidRPr="007072DA">
              <w:rPr>
                <w:rFonts w:ascii="Arial" w:hAnsi="Arial" w:cs="Arial"/>
                <w:sz w:val="16"/>
                <w:szCs w:val="16"/>
              </w:rPr>
              <w:t>están</w:t>
            </w:r>
            <w:r w:rsidRPr="007072DA">
              <w:rPr>
                <w:rFonts w:ascii="Arial" w:hAnsi="Arial" w:cs="Arial"/>
                <w:sz w:val="16"/>
                <w:szCs w:val="16"/>
              </w:rPr>
              <w:t>, operativos de control, visitas cites y no cites,  expedición de salvoconductos,  atención de quejas, jornadas de capacitación, actividades de evaluación y seguimiento a permisos expedido, incautaciones apoyadas en Oficinas de enlace, verificaciones Oficinas de enlace y Apoyo verificaciones en las oficinas de enlace.</w:t>
            </w:r>
          </w:p>
        </w:tc>
        <w:tc>
          <w:tcPr>
            <w:tcW w:w="2268"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hideMark/>
          </w:tcPr>
          <w:p w:rsidR="000B34CE" w:rsidRPr="007072DA" w:rsidRDefault="000B34CE" w:rsidP="000B34CE">
            <w:pPr>
              <w:rPr>
                <w:rFonts w:ascii="Arial" w:hAnsi="Arial" w:cs="Arial"/>
                <w:sz w:val="16"/>
                <w:szCs w:val="16"/>
              </w:rPr>
            </w:pPr>
            <w:r w:rsidRPr="007072DA">
              <w:rPr>
                <w:rFonts w:ascii="Arial" w:hAnsi="Arial" w:cs="Arial"/>
                <w:sz w:val="16"/>
                <w:szCs w:val="16"/>
              </w:rPr>
              <w:t xml:space="preserve">En cuanto al tráfico de recursos naturales, la ejecución de las estrategias de conservación y protección permitirán por una parte la generación de un mayor conocimiento de la importancia y la función de cada una de las especies de fauna silvestre y flora en su medio natural lográndose así la entrega voluntaria de los individuos que se tenga como mascotas y el cambio de cultura en la no utilización de los mismos bien sea como compañía o como parte de las celebraciones religiosas. </w:t>
            </w:r>
          </w:p>
        </w:tc>
      </w:tr>
      <w:tr w:rsidR="000B34CE" w:rsidRPr="007072DA" w:rsidTr="00F73EEB">
        <w:trPr>
          <w:trHeight w:val="2850"/>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Realizar desde el CRRFFS y las oficinas de enlace, la liberación, remisión, incautación y entregas voluntarias del recurso fauna silvestre.</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El  CRRFFS presento 3452 actuaciones en la vigencia logrando con esto realizar: 869 liberaciones a su </w:t>
            </w:r>
            <w:r w:rsidR="000D31B3" w:rsidRPr="007072DA">
              <w:rPr>
                <w:rFonts w:ascii="Arial" w:hAnsi="Arial" w:cs="Arial"/>
                <w:sz w:val="16"/>
                <w:szCs w:val="16"/>
              </w:rPr>
              <w:t>hábitat</w:t>
            </w:r>
            <w:r w:rsidRPr="007072DA">
              <w:rPr>
                <w:rFonts w:ascii="Arial" w:hAnsi="Arial" w:cs="Arial"/>
                <w:sz w:val="16"/>
                <w:szCs w:val="16"/>
              </w:rPr>
              <w:t xml:space="preserve"> natural, 387 animales remitidos de las Corporaciones </w:t>
            </w:r>
            <w:r w:rsidR="000D31B3" w:rsidRPr="007072DA">
              <w:rPr>
                <w:rFonts w:ascii="Arial" w:hAnsi="Arial" w:cs="Arial"/>
                <w:sz w:val="16"/>
                <w:szCs w:val="16"/>
              </w:rPr>
              <w:t>autónomas</w:t>
            </w:r>
            <w:r w:rsidRPr="007072DA">
              <w:rPr>
                <w:rFonts w:ascii="Arial" w:hAnsi="Arial" w:cs="Arial"/>
                <w:sz w:val="16"/>
                <w:szCs w:val="16"/>
              </w:rPr>
              <w:t xml:space="preserve"> regionales para su rehabilitación, 463 animales incautados, 1397 animales entregados voluntariamente, 96 animales rescatados entre otras actuaciones.</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En cuanto al tráfico de recursos naturales, la ejecución de las estrategias de conservación y protección permitirán por una parte la generación de un mayor conocimiento de la importancia y la función de cada una de las especies de fauna silvestre y flora en su medio natural lográndose así la entrega voluntaria de los individuos que se tenga como mascotas y el cambio de cultura en la no utilización de los mismos bien sea como compañía o como parte de las celebraciones religiosas.  </w:t>
            </w:r>
            <w:r w:rsidRPr="007072DA">
              <w:rPr>
                <w:rFonts w:ascii="Arial" w:hAnsi="Arial" w:cs="Arial"/>
                <w:sz w:val="16"/>
                <w:szCs w:val="16"/>
              </w:rPr>
              <w:br/>
              <w:t>Con relación a la flora, disminución del impacto y presión sobre los ecosistemas nacionales, gracias al control que ejerce la SDA sobre el aprovechamiento ilegal de recursos maderables y no maderables.</w:t>
            </w:r>
          </w:p>
        </w:tc>
      </w:tr>
      <w:tr w:rsidR="000B34CE" w:rsidRPr="007072DA" w:rsidTr="00F73EEB">
        <w:trPr>
          <w:trHeight w:val="2940"/>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Realizar los actos administrativos y notificaciones del recurso flora y fauna silvestre. </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La </w:t>
            </w:r>
            <w:r w:rsidR="00BA190B" w:rsidRPr="007072DA">
              <w:rPr>
                <w:rFonts w:ascii="Arial" w:hAnsi="Arial" w:cs="Arial"/>
                <w:sz w:val="16"/>
                <w:szCs w:val="16"/>
              </w:rPr>
              <w:t>coordinación</w:t>
            </w:r>
            <w:r w:rsidRPr="007072DA">
              <w:rPr>
                <w:rFonts w:ascii="Arial" w:hAnsi="Arial" w:cs="Arial"/>
                <w:sz w:val="16"/>
                <w:szCs w:val="16"/>
              </w:rPr>
              <w:t xml:space="preserve"> Jurídica de Flora y Fauna reporto 1165 actuaciones dentro de las cuales se encuentran  actos administrativos de Fauna y actos administrativos de Flora. Igualmente se </w:t>
            </w:r>
            <w:r w:rsidR="00190A16" w:rsidRPr="007072DA">
              <w:rPr>
                <w:rFonts w:ascii="Arial" w:hAnsi="Arial" w:cs="Arial"/>
                <w:sz w:val="16"/>
                <w:szCs w:val="16"/>
              </w:rPr>
              <w:t>realizaron</w:t>
            </w:r>
            <w:r w:rsidRPr="007072DA">
              <w:rPr>
                <w:rFonts w:ascii="Arial" w:hAnsi="Arial" w:cs="Arial"/>
                <w:sz w:val="16"/>
                <w:szCs w:val="16"/>
              </w:rPr>
              <w:t xml:space="preserve"> notificaciones de Fauna y notificaciones de Flora. </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48/2015, 104/2015, 11/2015, 12/2015, 21/2015, 12/2015, 1310/2015, 1302/2015, 1319/2015, 1326/2015</w:t>
            </w:r>
          </w:p>
        </w:tc>
        <w:tc>
          <w:tcPr>
            <w:tcW w:w="273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En cuanto al tráfico de recursos naturales, la ejecución de las estrategias de conservación y protección permitirán por una parte la generación de un mayor conocimiento de la importancia y la función de cada una de las especies de fauna silvestre y flora en su medio natural lográndose así la entrega voluntaria de los individuos que se tenga como mascotas y el cambio de cultura en la no utilización de los mismos bien sea como compañía o como parte de las celebraciones religiosas.  </w:t>
            </w:r>
            <w:r w:rsidRPr="007072DA">
              <w:rPr>
                <w:rFonts w:ascii="Arial" w:hAnsi="Arial" w:cs="Arial"/>
                <w:sz w:val="16"/>
                <w:szCs w:val="16"/>
              </w:rPr>
              <w:br/>
              <w:t>Con relación a la flora, disminución del impacto y presión sobre los ecosistemas nacionales, gracias al control que ejerce la SDA sobre el aprovechamiento ilegal de recursos maderables y no maderables.</w:t>
            </w:r>
          </w:p>
        </w:tc>
      </w:tr>
      <w:tr w:rsidR="000B34CE" w:rsidRPr="007072DA" w:rsidTr="00F73EEB">
        <w:trPr>
          <w:trHeight w:val="271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Realizar los procesos de selección contractual para dar inicio a la </w:t>
            </w:r>
            <w:r w:rsidR="00190A16" w:rsidRPr="007072DA">
              <w:rPr>
                <w:rFonts w:ascii="Arial" w:hAnsi="Arial" w:cs="Arial"/>
                <w:sz w:val="16"/>
                <w:szCs w:val="16"/>
              </w:rPr>
              <w:t>construcción</w:t>
            </w:r>
            <w:r w:rsidRPr="007072DA">
              <w:rPr>
                <w:rFonts w:ascii="Arial" w:hAnsi="Arial" w:cs="Arial"/>
                <w:sz w:val="16"/>
                <w:szCs w:val="16"/>
              </w:rPr>
              <w:t xml:space="preserve"> del CRRFFS</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Con el </w:t>
            </w:r>
            <w:r w:rsidR="00190A16" w:rsidRPr="007072DA">
              <w:rPr>
                <w:rFonts w:ascii="Arial" w:hAnsi="Arial" w:cs="Arial"/>
                <w:sz w:val="16"/>
                <w:szCs w:val="16"/>
              </w:rPr>
              <w:t>propósito</w:t>
            </w:r>
            <w:r w:rsidRPr="007072DA">
              <w:rPr>
                <w:rFonts w:ascii="Arial" w:hAnsi="Arial" w:cs="Arial"/>
                <w:sz w:val="16"/>
                <w:szCs w:val="16"/>
              </w:rPr>
              <w:t xml:space="preserve"> de iniciar el fortalecimiento de la infraestructura del Centro de Recepción y Rehabilitación de flora y Fauna Silvestre se realizó la adjudicación del contrato de los estudios y  diseños, el cual entrego  los estudios que se constituyen como insumo para el proceso de </w:t>
            </w:r>
            <w:r w:rsidR="00190A16" w:rsidRPr="007072DA">
              <w:rPr>
                <w:rFonts w:ascii="Arial" w:hAnsi="Arial" w:cs="Arial"/>
                <w:sz w:val="16"/>
                <w:szCs w:val="16"/>
              </w:rPr>
              <w:t>contratación</w:t>
            </w:r>
            <w:r w:rsidRPr="007072DA">
              <w:rPr>
                <w:rFonts w:ascii="Arial" w:hAnsi="Arial" w:cs="Arial"/>
                <w:sz w:val="16"/>
                <w:szCs w:val="16"/>
              </w:rPr>
              <w:t xml:space="preserve"> de la </w:t>
            </w:r>
            <w:r w:rsidR="00190A16" w:rsidRPr="007072DA">
              <w:rPr>
                <w:rFonts w:ascii="Arial" w:hAnsi="Arial" w:cs="Arial"/>
                <w:sz w:val="16"/>
                <w:szCs w:val="16"/>
              </w:rPr>
              <w:t>construcción</w:t>
            </w:r>
            <w:r w:rsidRPr="007072DA">
              <w:rPr>
                <w:rFonts w:ascii="Arial" w:hAnsi="Arial" w:cs="Arial"/>
                <w:sz w:val="16"/>
                <w:szCs w:val="16"/>
              </w:rPr>
              <w:t xml:space="preserve">, dicho contrato se encuentra en proceso de </w:t>
            </w:r>
            <w:r w:rsidR="00190A16" w:rsidRPr="007072DA">
              <w:rPr>
                <w:rFonts w:ascii="Arial" w:hAnsi="Arial" w:cs="Arial"/>
                <w:sz w:val="16"/>
                <w:szCs w:val="16"/>
              </w:rPr>
              <w:t>liquidación</w:t>
            </w:r>
            <w:r w:rsidRPr="007072DA">
              <w:rPr>
                <w:rFonts w:ascii="Arial" w:hAnsi="Arial" w:cs="Arial"/>
                <w:sz w:val="16"/>
                <w:szCs w:val="16"/>
              </w:rPr>
              <w:t xml:space="preserve"> por tal </w:t>
            </w:r>
            <w:r w:rsidR="00190A16" w:rsidRPr="007072DA">
              <w:rPr>
                <w:rFonts w:ascii="Arial" w:hAnsi="Arial" w:cs="Arial"/>
                <w:sz w:val="16"/>
                <w:szCs w:val="16"/>
              </w:rPr>
              <w:t>razón</w:t>
            </w:r>
            <w:r w:rsidRPr="007072DA">
              <w:rPr>
                <w:rFonts w:ascii="Arial" w:hAnsi="Arial" w:cs="Arial"/>
                <w:sz w:val="16"/>
                <w:szCs w:val="16"/>
              </w:rPr>
              <w:t xml:space="preserve"> no se han aprobado los productos finales, estos productos son fundamentales para adquirir la licencia de </w:t>
            </w:r>
            <w:r w:rsidR="00190A16" w:rsidRPr="007072DA">
              <w:rPr>
                <w:rFonts w:ascii="Arial" w:hAnsi="Arial" w:cs="Arial"/>
                <w:sz w:val="16"/>
                <w:szCs w:val="16"/>
              </w:rPr>
              <w:t>construcción</w:t>
            </w:r>
            <w:r w:rsidRPr="007072DA">
              <w:rPr>
                <w:rFonts w:ascii="Arial" w:hAnsi="Arial" w:cs="Arial"/>
                <w:sz w:val="16"/>
                <w:szCs w:val="16"/>
              </w:rPr>
              <w:t xml:space="preserve">, por esta </w:t>
            </w:r>
            <w:r w:rsidR="00190A16" w:rsidRPr="007072DA">
              <w:rPr>
                <w:rFonts w:ascii="Arial" w:hAnsi="Arial" w:cs="Arial"/>
                <w:sz w:val="16"/>
                <w:szCs w:val="16"/>
              </w:rPr>
              <w:t>razón</w:t>
            </w:r>
            <w:r w:rsidRPr="007072DA">
              <w:rPr>
                <w:rFonts w:ascii="Arial" w:hAnsi="Arial" w:cs="Arial"/>
                <w:sz w:val="16"/>
                <w:szCs w:val="16"/>
              </w:rPr>
              <w:t xml:space="preserve"> los procesos de </w:t>
            </w:r>
            <w:r w:rsidR="00190A16" w:rsidRPr="007072DA">
              <w:rPr>
                <w:rFonts w:ascii="Arial" w:hAnsi="Arial" w:cs="Arial"/>
                <w:sz w:val="16"/>
                <w:szCs w:val="16"/>
              </w:rPr>
              <w:t>contratación</w:t>
            </w:r>
            <w:r w:rsidRPr="007072DA">
              <w:rPr>
                <w:rFonts w:ascii="Arial" w:hAnsi="Arial" w:cs="Arial"/>
                <w:sz w:val="16"/>
                <w:szCs w:val="16"/>
              </w:rPr>
              <w:t xml:space="preserve"> para la </w:t>
            </w:r>
            <w:r w:rsidR="00190A16" w:rsidRPr="007072DA">
              <w:rPr>
                <w:rFonts w:ascii="Arial" w:hAnsi="Arial" w:cs="Arial"/>
                <w:sz w:val="16"/>
                <w:szCs w:val="16"/>
              </w:rPr>
              <w:t>construcción</w:t>
            </w:r>
            <w:r w:rsidRPr="007072DA">
              <w:rPr>
                <w:rFonts w:ascii="Arial" w:hAnsi="Arial" w:cs="Arial"/>
                <w:sz w:val="16"/>
                <w:szCs w:val="16"/>
              </w:rPr>
              <w:t xml:space="preserve"> no se han iniciado.</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1149/2015, 1143/2015.</w:t>
            </w:r>
          </w:p>
        </w:tc>
        <w:tc>
          <w:tcPr>
            <w:tcW w:w="2739" w:type="dxa"/>
            <w:hideMark/>
          </w:tcPr>
          <w:p w:rsidR="000B34CE" w:rsidRPr="007072DA" w:rsidRDefault="00190A16" w:rsidP="000D31B3">
            <w:pPr>
              <w:jc w:val="both"/>
              <w:rPr>
                <w:rFonts w:ascii="Arial" w:hAnsi="Arial" w:cs="Arial"/>
                <w:sz w:val="16"/>
                <w:szCs w:val="16"/>
              </w:rPr>
            </w:pPr>
            <w:r w:rsidRPr="007072DA">
              <w:rPr>
                <w:rFonts w:ascii="Arial" w:hAnsi="Arial" w:cs="Arial"/>
                <w:sz w:val="16"/>
                <w:szCs w:val="16"/>
              </w:rPr>
              <w:t>Hacer</w:t>
            </w:r>
            <w:r w:rsidR="000B34CE" w:rsidRPr="007072DA">
              <w:rPr>
                <w:rFonts w:ascii="Arial" w:hAnsi="Arial" w:cs="Arial"/>
                <w:sz w:val="16"/>
                <w:szCs w:val="16"/>
              </w:rPr>
              <w:t xml:space="preserve"> mayor y mejor aprovechamiento del área </w:t>
            </w:r>
            <w:r w:rsidRPr="007072DA">
              <w:rPr>
                <w:rFonts w:ascii="Arial" w:hAnsi="Arial" w:cs="Arial"/>
                <w:sz w:val="16"/>
                <w:szCs w:val="16"/>
              </w:rPr>
              <w:t>útil</w:t>
            </w:r>
            <w:r w:rsidR="000B34CE" w:rsidRPr="007072DA">
              <w:rPr>
                <w:rFonts w:ascii="Arial" w:hAnsi="Arial" w:cs="Arial"/>
                <w:sz w:val="16"/>
                <w:szCs w:val="16"/>
              </w:rPr>
              <w:t xml:space="preserve"> del lote en beneficio del proyecto. De mejorarse la infraestructura física del Centro, se facilitarían los procesos de rehabilitación y mantenimiento de la población allí alojada,  así como,  el almacenamiento de la madera decomisada.</w:t>
            </w: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Realizar los avances de la </w:t>
            </w:r>
            <w:r w:rsidR="00190A16" w:rsidRPr="007072DA">
              <w:rPr>
                <w:rFonts w:ascii="Arial" w:hAnsi="Arial" w:cs="Arial"/>
                <w:sz w:val="16"/>
                <w:szCs w:val="16"/>
              </w:rPr>
              <w:t>construcción</w:t>
            </w:r>
            <w:r w:rsidRPr="007072DA">
              <w:rPr>
                <w:rFonts w:ascii="Arial" w:hAnsi="Arial" w:cs="Arial"/>
                <w:sz w:val="16"/>
                <w:szCs w:val="16"/>
              </w:rPr>
              <w:t xml:space="preserve"> del nuevo CRRFFS</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No aplica para este período, dado los atrasos en el proceso de licencia de </w:t>
            </w:r>
            <w:r w:rsidR="00190A16" w:rsidRPr="007072DA">
              <w:rPr>
                <w:rFonts w:ascii="Arial" w:hAnsi="Arial" w:cs="Arial"/>
                <w:sz w:val="16"/>
                <w:szCs w:val="16"/>
              </w:rPr>
              <w:t>construcción</w:t>
            </w:r>
            <w:r w:rsidRPr="007072DA">
              <w:rPr>
                <w:rFonts w:ascii="Arial" w:hAnsi="Arial" w:cs="Arial"/>
                <w:sz w:val="16"/>
                <w:szCs w:val="16"/>
              </w:rPr>
              <w:t xml:space="preserve">, no se </w:t>
            </w:r>
            <w:r w:rsidR="00190A16" w:rsidRPr="007072DA">
              <w:rPr>
                <w:rFonts w:ascii="Arial" w:hAnsi="Arial" w:cs="Arial"/>
                <w:sz w:val="16"/>
                <w:szCs w:val="16"/>
              </w:rPr>
              <w:t>realizó</w:t>
            </w:r>
            <w:r w:rsidRPr="007072DA">
              <w:rPr>
                <w:rFonts w:ascii="Arial" w:hAnsi="Arial" w:cs="Arial"/>
                <w:sz w:val="16"/>
                <w:szCs w:val="16"/>
              </w:rPr>
              <w:t xml:space="preserve"> el proceso de selección contractual para la obra de </w:t>
            </w:r>
            <w:r w:rsidR="00190A16" w:rsidRPr="007072DA">
              <w:rPr>
                <w:rFonts w:ascii="Arial" w:hAnsi="Arial" w:cs="Arial"/>
                <w:sz w:val="16"/>
                <w:szCs w:val="16"/>
              </w:rPr>
              <w:t>construcción</w:t>
            </w:r>
            <w:r w:rsidRPr="007072DA">
              <w:rPr>
                <w:rFonts w:ascii="Arial" w:hAnsi="Arial" w:cs="Arial"/>
                <w:sz w:val="16"/>
                <w:szCs w:val="16"/>
              </w:rPr>
              <w:t xml:space="preserve"> del CRRFFS.</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N/A</w:t>
            </w:r>
          </w:p>
        </w:tc>
        <w:tc>
          <w:tcPr>
            <w:tcW w:w="273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Es el primer centro de esta naturaleza en el país. Es un lugar en el que, por una parte, se reciben animales silvestres decomisados para su evaluación, tratamiento y posterior diagnóstico; y por otra se adelantan procesos de rehabilitación con fines de liberación o se evalúan, con el fin de remitirlos a programas en los que puedan llevarse a cabo estos procesos.</w:t>
            </w:r>
            <w:r w:rsidRPr="007072DA">
              <w:rPr>
                <w:rFonts w:ascii="Arial" w:hAnsi="Arial" w:cs="Arial"/>
                <w:sz w:val="16"/>
                <w:szCs w:val="16"/>
              </w:rPr>
              <w:br/>
            </w:r>
            <w:r w:rsidRPr="007072DA">
              <w:rPr>
                <w:rFonts w:ascii="Arial" w:hAnsi="Arial" w:cs="Arial"/>
                <w:sz w:val="16"/>
                <w:szCs w:val="16"/>
              </w:rPr>
              <w:br/>
              <w:t>Al recibir animales de todas las regiones del país y, por ende, de todos los pisos térmicos, deben proveerse condiciones que permitan manejar la temperatura y la humedad; la alimentación y el consumo de agua; el espacio disponible y el tipo de enriquecimiento ambiental; la proximidad con otras especies y la cantidad de animales en su propio encierro. Estos y otros factores, varían con cada especie y animal, lo que debe dar una idea de la complejidad técnica</w:t>
            </w:r>
            <w:r w:rsidRPr="007072DA">
              <w:rPr>
                <w:rFonts w:ascii="Arial" w:hAnsi="Arial" w:cs="Arial"/>
                <w:sz w:val="16"/>
                <w:szCs w:val="16"/>
              </w:rPr>
              <w:br/>
            </w:r>
            <w:r w:rsidRPr="007072DA">
              <w:rPr>
                <w:rFonts w:ascii="Arial" w:hAnsi="Arial" w:cs="Arial"/>
                <w:sz w:val="16"/>
                <w:szCs w:val="16"/>
              </w:rPr>
              <w:lastRenderedPageBreak/>
              <w:br/>
              <w:t>En el CRRFS (Centro de Recepción y Rehabilitación de Fauna Silvestre de la SDA) se desarrollan investigaciones científicas y programas de educación ambiental con fines de prevención al tráfico ilegal de fauna silvestre.</w:t>
            </w:r>
          </w:p>
        </w:tc>
      </w:tr>
      <w:tr w:rsidR="000B34CE" w:rsidRPr="007072DA" w:rsidTr="00F73EEB">
        <w:trPr>
          <w:trHeight w:val="3810"/>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Manejar técnica e integralmente a los animales recuperados  a través de la provisión de alimentos, medicamentos, exámenes de laboratorio y el manejo veterinario, biológico y zootécnico requerido.</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En el CRRFFS se </w:t>
            </w:r>
            <w:r w:rsidR="00190A16" w:rsidRPr="007072DA">
              <w:rPr>
                <w:rFonts w:ascii="Arial" w:hAnsi="Arial" w:cs="Arial"/>
                <w:sz w:val="16"/>
                <w:szCs w:val="16"/>
              </w:rPr>
              <w:t>atendió</w:t>
            </w:r>
            <w:r w:rsidRPr="007072DA">
              <w:rPr>
                <w:rFonts w:ascii="Arial" w:hAnsi="Arial" w:cs="Arial"/>
                <w:sz w:val="16"/>
                <w:szCs w:val="16"/>
              </w:rPr>
              <w:t xml:space="preserve"> integralmente a los animales a través de la provisión necesaria para su rehabilitación y posterior liberación. </w:t>
            </w:r>
            <w:r w:rsidR="00190A16" w:rsidRPr="007072DA">
              <w:rPr>
                <w:rFonts w:ascii="Arial" w:hAnsi="Arial" w:cs="Arial"/>
                <w:sz w:val="16"/>
                <w:szCs w:val="16"/>
              </w:rPr>
              <w:t>De</w:t>
            </w:r>
            <w:r w:rsidRPr="007072DA">
              <w:rPr>
                <w:rFonts w:ascii="Arial" w:hAnsi="Arial" w:cs="Arial"/>
                <w:sz w:val="16"/>
                <w:szCs w:val="16"/>
              </w:rPr>
              <w:t xml:space="preserve"> tal manera que la meta se cumple  a cabalidad  teniendo en cuenta que esta labor se realiza constantemente de acuerdo a los animales que se encuentran  en el CRRFFS.</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891/2015, 1359/2015, 650/2014, 858/2014, 1383/2015, 1135/2015.</w:t>
            </w:r>
          </w:p>
        </w:tc>
        <w:tc>
          <w:tcPr>
            <w:tcW w:w="273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coordina el manejo del CRRFFS y de las oficinas de enlace que sirven de apoyo para la administración y gestión de los recursos, lugares desde los cuales se brinda atención a los animales  decomisados y a los especímenes de la fauna silvestre entregados de manera voluntaria por sus tenedores, con el fin último de definir su destino final de acuerdo a su estado en términos biológicos y veterinarios.  En este sentido, la SDA vela por que se dé un apropiado manejo técnico e integral a los animales, desde el mismo momento de su recuperación, asegurando la oportuna y suficiente provisión de materias primas para alimentación, medicamentos, exámenes de laboratorio y demás ítems necesarios para asegurar el bienestar de los animales, incluyendo la conservación de la infraestructura del Centro, y la presencia del personal profesional y técnico indispensable para el manejo veterinario, biológico, </w:t>
            </w:r>
            <w:r w:rsidRPr="007072DA">
              <w:rPr>
                <w:rFonts w:ascii="Arial" w:hAnsi="Arial" w:cs="Arial"/>
                <w:sz w:val="16"/>
                <w:szCs w:val="16"/>
              </w:rPr>
              <w:lastRenderedPageBreak/>
              <w:t>zootécnico y de cuidado integral requerido por los animales alojados en el CRRFFS.</w:t>
            </w:r>
          </w:p>
        </w:tc>
      </w:tr>
      <w:tr w:rsidR="000B34CE" w:rsidRPr="007072DA" w:rsidTr="00F73EEB">
        <w:trPr>
          <w:trHeight w:val="2310"/>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Manejar técnicamente los productos maderables  y no maderables y material vivo de la flora recuperada, a través de la curaduría y disposición temporal de estos.</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dio el manejo técnico adecuado a los productos maderables y no maderable (semillas) que se encuentran en el  CRRFFS garantizando las condiciones adecuadas para su conservación  hasta que se determine su disposición final ya sea donación o devolución.  </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8912015, 13592015, 6502014, 8582014, 13832015, 11352015.</w:t>
            </w:r>
          </w:p>
        </w:tc>
        <w:tc>
          <w:tcPr>
            <w:tcW w:w="273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En esencia, a través de esta actividad se coordina el manejo del CRRFFS y de las oficinas de enlace que sirven de apoyo para la administración y gestión de los recursos, lugares desde los cuales se brinda atención a los productos de la flora  decomisados o entregados de manera voluntaria por sus tenedores, con el fin último de definir su destino final de acuerdo a su estado.  En este sentido, la SDA velará por que se dé un apropiado manejo técnico e integral a los productos de la flora alojados en el CRRFFS.</w:t>
            </w:r>
          </w:p>
        </w:tc>
      </w:tr>
      <w:tr w:rsidR="000B34CE" w:rsidRPr="007072DA" w:rsidTr="00F73EEB">
        <w:trPr>
          <w:trHeight w:val="199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Desarrollar el proyecto de investigación y </w:t>
            </w:r>
            <w:r w:rsidR="00190A16" w:rsidRPr="007072DA">
              <w:rPr>
                <w:rFonts w:ascii="Arial" w:hAnsi="Arial" w:cs="Arial"/>
                <w:sz w:val="16"/>
                <w:szCs w:val="16"/>
              </w:rPr>
              <w:t>conformación</w:t>
            </w:r>
            <w:r w:rsidRPr="007072DA">
              <w:rPr>
                <w:rFonts w:ascii="Arial" w:hAnsi="Arial" w:cs="Arial"/>
                <w:sz w:val="16"/>
                <w:szCs w:val="16"/>
              </w:rPr>
              <w:t xml:space="preserve"> del </w:t>
            </w:r>
            <w:r w:rsidR="00190A16" w:rsidRPr="007072DA">
              <w:rPr>
                <w:rFonts w:ascii="Arial" w:hAnsi="Arial" w:cs="Arial"/>
                <w:sz w:val="16"/>
                <w:szCs w:val="16"/>
              </w:rPr>
              <w:t>catálogo</w:t>
            </w:r>
            <w:r w:rsidRPr="007072DA">
              <w:rPr>
                <w:rFonts w:ascii="Arial" w:hAnsi="Arial" w:cs="Arial"/>
                <w:sz w:val="16"/>
                <w:szCs w:val="16"/>
              </w:rPr>
              <w:t xml:space="preserve"> </w:t>
            </w:r>
            <w:r w:rsidR="00190A16" w:rsidRPr="007072DA">
              <w:rPr>
                <w:rFonts w:ascii="Arial" w:hAnsi="Arial" w:cs="Arial"/>
                <w:sz w:val="16"/>
                <w:szCs w:val="16"/>
              </w:rPr>
              <w:t>fotográfico</w:t>
            </w:r>
            <w:r w:rsidRPr="007072DA">
              <w:rPr>
                <w:rFonts w:ascii="Arial" w:hAnsi="Arial" w:cs="Arial"/>
                <w:sz w:val="16"/>
                <w:szCs w:val="16"/>
              </w:rPr>
              <w:t xml:space="preserve"> del recurso fauna silvestre.</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desarrolló un catálogo fotográfico virtual para el recurso fauna silvestre que se ha recepcionado y rehabilitado en el CRRFFS. Esta publicación está orientada a informar sobre las especies del recurso fauna que han sido recuperadas por la autoridad ambiental del Distrito en el CRRFFS, contiene </w:t>
            </w:r>
            <w:r w:rsidR="00190A16" w:rsidRPr="007072DA">
              <w:rPr>
                <w:rFonts w:ascii="Arial" w:hAnsi="Arial" w:cs="Arial"/>
                <w:sz w:val="16"/>
                <w:szCs w:val="16"/>
              </w:rPr>
              <w:t>información</w:t>
            </w:r>
            <w:r w:rsidRPr="007072DA">
              <w:rPr>
                <w:rFonts w:ascii="Arial" w:hAnsi="Arial" w:cs="Arial"/>
                <w:sz w:val="16"/>
                <w:szCs w:val="16"/>
              </w:rPr>
              <w:t xml:space="preserve"> de cada una de las </w:t>
            </w:r>
            <w:r w:rsidRPr="007072DA">
              <w:rPr>
                <w:rFonts w:ascii="Arial" w:hAnsi="Arial" w:cs="Arial"/>
                <w:sz w:val="16"/>
                <w:szCs w:val="16"/>
              </w:rPr>
              <w:lastRenderedPageBreak/>
              <w:t>especies especificando su lugar de origen.</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1135/2015.</w:t>
            </w:r>
          </w:p>
        </w:tc>
        <w:tc>
          <w:tcPr>
            <w:tcW w:w="2739" w:type="dxa"/>
            <w:vMerge w:val="restart"/>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Las investigaciones permiten aumentar el conocimiento tanto de las cadenas de tráfico y otros aspectos asociados al aprovechamiento ilegal del recurso, como de aspectos biológicos, ecológicos, nutricionales, veterinarias relevantes para la articulación de controles efectivos con otras autoridades sean ambientales, de Policía o de </w:t>
            </w:r>
            <w:r w:rsidRPr="007072DA">
              <w:rPr>
                <w:rFonts w:ascii="Arial" w:hAnsi="Arial" w:cs="Arial"/>
                <w:sz w:val="16"/>
                <w:szCs w:val="16"/>
              </w:rPr>
              <w:lastRenderedPageBreak/>
              <w:t xml:space="preserve">investigación judicial; el manejo adecuado de los especímenes recuperados o rescatados por la entidad y la apropiada disposición final de éstos, aportando la disminución del tráfico y la tenencia ilegal de animales silvestres como mascotas en la ciudad. Generación de información técnica que soporte las diferentes actuaciones en el ejercicio de evaluación seguimiento y control  al recurso flora. </w:t>
            </w: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Desarrollar el proyecto de investigación y </w:t>
            </w:r>
            <w:r w:rsidR="00190A16" w:rsidRPr="007072DA">
              <w:rPr>
                <w:rFonts w:ascii="Arial" w:hAnsi="Arial" w:cs="Arial"/>
                <w:sz w:val="16"/>
                <w:szCs w:val="16"/>
              </w:rPr>
              <w:t>conformación</w:t>
            </w:r>
            <w:r w:rsidRPr="007072DA">
              <w:rPr>
                <w:rFonts w:ascii="Arial" w:hAnsi="Arial" w:cs="Arial"/>
                <w:sz w:val="16"/>
                <w:szCs w:val="16"/>
              </w:rPr>
              <w:t xml:space="preserve"> del </w:t>
            </w:r>
            <w:r w:rsidR="00190A16" w:rsidRPr="007072DA">
              <w:rPr>
                <w:rFonts w:ascii="Arial" w:hAnsi="Arial" w:cs="Arial"/>
                <w:sz w:val="16"/>
                <w:szCs w:val="16"/>
              </w:rPr>
              <w:t>catálogo</w:t>
            </w:r>
            <w:r w:rsidRPr="007072DA">
              <w:rPr>
                <w:rFonts w:ascii="Arial" w:hAnsi="Arial" w:cs="Arial"/>
                <w:sz w:val="16"/>
                <w:szCs w:val="16"/>
              </w:rPr>
              <w:t xml:space="preserve"> </w:t>
            </w:r>
            <w:r w:rsidR="00190A16" w:rsidRPr="007072DA">
              <w:rPr>
                <w:rFonts w:ascii="Arial" w:hAnsi="Arial" w:cs="Arial"/>
                <w:sz w:val="16"/>
                <w:szCs w:val="16"/>
              </w:rPr>
              <w:t>fotográfico</w:t>
            </w:r>
            <w:r w:rsidRPr="007072DA">
              <w:rPr>
                <w:rFonts w:ascii="Arial" w:hAnsi="Arial" w:cs="Arial"/>
                <w:sz w:val="16"/>
                <w:szCs w:val="16"/>
              </w:rPr>
              <w:t xml:space="preserve"> del recurso flora silvestre</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desarrolló un catálogo fotográfico virtual para el recurso flora silvestre que se ha recepcionado y rehabilitado en el CRRFFS. Esta publicación está orientada a informar sobre las especies del recurso flora que han sido recuperadas por la autoridad ambiental del Distrito en el CRRFFS, contiene </w:t>
            </w:r>
            <w:r w:rsidR="00190A16" w:rsidRPr="007072DA">
              <w:rPr>
                <w:rFonts w:ascii="Arial" w:hAnsi="Arial" w:cs="Arial"/>
                <w:sz w:val="16"/>
                <w:szCs w:val="16"/>
              </w:rPr>
              <w:t>información</w:t>
            </w:r>
            <w:r w:rsidRPr="007072DA">
              <w:rPr>
                <w:rFonts w:ascii="Arial" w:hAnsi="Arial" w:cs="Arial"/>
                <w:sz w:val="16"/>
                <w:szCs w:val="16"/>
              </w:rPr>
              <w:t xml:space="preserve"> de cada una de las especies especificando su lugar de origen.</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1135/2015.</w:t>
            </w:r>
          </w:p>
        </w:tc>
        <w:tc>
          <w:tcPr>
            <w:tcW w:w="2739" w:type="dxa"/>
            <w:vMerge/>
            <w:hideMark/>
          </w:tcPr>
          <w:p w:rsidR="000B34CE" w:rsidRPr="007072DA" w:rsidRDefault="000B34CE" w:rsidP="000D31B3">
            <w:pPr>
              <w:jc w:val="both"/>
              <w:rPr>
                <w:rFonts w:ascii="Arial" w:hAnsi="Arial" w:cs="Arial"/>
                <w:sz w:val="16"/>
                <w:szCs w:val="16"/>
              </w:rPr>
            </w:pPr>
          </w:p>
        </w:tc>
      </w:tr>
      <w:tr w:rsidR="000B34CE" w:rsidRPr="007072DA" w:rsidTr="00F73EEB">
        <w:trPr>
          <w:trHeight w:val="2520"/>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Desarrollar el proyecto de investigación </w:t>
            </w:r>
            <w:r w:rsidR="00190A16" w:rsidRPr="007072DA">
              <w:rPr>
                <w:rFonts w:ascii="Arial" w:hAnsi="Arial" w:cs="Arial"/>
                <w:sz w:val="16"/>
                <w:szCs w:val="16"/>
              </w:rPr>
              <w:t>análisis</w:t>
            </w:r>
            <w:r w:rsidRPr="007072DA">
              <w:rPr>
                <w:rFonts w:ascii="Arial" w:hAnsi="Arial" w:cs="Arial"/>
                <w:sz w:val="16"/>
                <w:szCs w:val="16"/>
              </w:rPr>
              <w:t xml:space="preserve"> y </w:t>
            </w:r>
            <w:r w:rsidR="00190A16" w:rsidRPr="007072DA">
              <w:rPr>
                <w:rFonts w:ascii="Arial" w:hAnsi="Arial" w:cs="Arial"/>
                <w:sz w:val="16"/>
                <w:szCs w:val="16"/>
              </w:rPr>
              <w:t>evaluación</w:t>
            </w:r>
            <w:r w:rsidRPr="007072DA">
              <w:rPr>
                <w:rFonts w:ascii="Arial" w:hAnsi="Arial" w:cs="Arial"/>
                <w:sz w:val="16"/>
                <w:szCs w:val="16"/>
              </w:rPr>
              <w:t xml:space="preserve"> de </w:t>
            </w:r>
            <w:r w:rsidR="00190A16" w:rsidRPr="007072DA">
              <w:rPr>
                <w:rFonts w:ascii="Arial" w:hAnsi="Arial" w:cs="Arial"/>
                <w:sz w:val="16"/>
                <w:szCs w:val="16"/>
              </w:rPr>
              <w:t>información</w:t>
            </w:r>
            <w:r w:rsidRPr="007072DA">
              <w:rPr>
                <w:rFonts w:ascii="Arial" w:hAnsi="Arial" w:cs="Arial"/>
                <w:sz w:val="16"/>
                <w:szCs w:val="16"/>
              </w:rPr>
              <w:t xml:space="preserve"> de la industria forestal de productos forestales de </w:t>
            </w:r>
            <w:r w:rsidR="00190A16" w:rsidRPr="007072DA">
              <w:rPr>
                <w:rFonts w:ascii="Arial" w:hAnsi="Arial" w:cs="Arial"/>
                <w:sz w:val="16"/>
                <w:szCs w:val="16"/>
              </w:rPr>
              <w:t>plantación</w:t>
            </w:r>
            <w:r w:rsidRPr="007072DA">
              <w:rPr>
                <w:rFonts w:ascii="Arial" w:hAnsi="Arial" w:cs="Arial"/>
                <w:sz w:val="16"/>
                <w:szCs w:val="16"/>
              </w:rPr>
              <w:t>.</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 </w:t>
            </w:r>
            <w:r w:rsidR="00190A16" w:rsidRPr="007072DA">
              <w:rPr>
                <w:rFonts w:ascii="Arial" w:hAnsi="Arial" w:cs="Arial"/>
                <w:sz w:val="16"/>
                <w:szCs w:val="16"/>
              </w:rPr>
              <w:t>Publicación</w:t>
            </w:r>
            <w:r w:rsidRPr="007072DA">
              <w:rPr>
                <w:rFonts w:ascii="Arial" w:hAnsi="Arial" w:cs="Arial"/>
                <w:sz w:val="16"/>
                <w:szCs w:val="16"/>
              </w:rPr>
              <w:t xml:space="preserve"> del libro “Gestión del recurso forestal en el Distrito Capital”  este ha sido un estudio realizado durante la vigencia y para su culminación debe distribuirse para crear el impacto que se busca. </w:t>
            </w:r>
            <w:r w:rsidRPr="007072DA">
              <w:rPr>
                <w:rFonts w:ascii="Arial" w:hAnsi="Arial" w:cs="Arial"/>
                <w:sz w:val="16"/>
                <w:szCs w:val="16"/>
              </w:rPr>
              <w:br/>
              <w:t>El estudio describe la estrategia desarrollada por la Secretaría Distrital de Ambiente - SDA, antes Departamento Técnico Administrativo del Medio Ambiente – DAMA, alrededor de la industria forestal bogotana y el  comercio de especímenes de la flora, y como estas ayudan a controlar el tráfico ilícito de este valioso recurso dentro del perímetro urbano del Distrito Capital.</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30/2015, 32/2015, 98/2015, 257/2015, 112/2015, 118/2015, 33/2015, 325/2015, 41/2015, 125/2015, 1162/2015, 945/2015</w:t>
            </w:r>
          </w:p>
        </w:tc>
        <w:tc>
          <w:tcPr>
            <w:tcW w:w="2739" w:type="dxa"/>
            <w:vMerge/>
            <w:hideMark/>
          </w:tcPr>
          <w:p w:rsidR="000B34CE" w:rsidRPr="007072DA" w:rsidRDefault="000B34CE" w:rsidP="000D31B3">
            <w:pPr>
              <w:jc w:val="both"/>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Desarrollar el proyecto de investigación y </w:t>
            </w:r>
            <w:r w:rsidR="00190A16" w:rsidRPr="007072DA">
              <w:rPr>
                <w:rFonts w:ascii="Arial" w:hAnsi="Arial" w:cs="Arial"/>
                <w:sz w:val="16"/>
                <w:szCs w:val="16"/>
              </w:rPr>
              <w:t>creación</w:t>
            </w:r>
            <w:r w:rsidRPr="007072DA">
              <w:rPr>
                <w:rFonts w:ascii="Arial" w:hAnsi="Arial" w:cs="Arial"/>
                <w:sz w:val="16"/>
                <w:szCs w:val="16"/>
              </w:rPr>
              <w:t xml:space="preserve"> del Banco de olores del recurso fauna silvestre</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realizó la creación y el entrenamiento del </w:t>
            </w:r>
            <w:r w:rsidR="00190A16" w:rsidRPr="007072DA">
              <w:rPr>
                <w:rFonts w:ascii="Arial" w:hAnsi="Arial" w:cs="Arial"/>
                <w:sz w:val="16"/>
                <w:szCs w:val="16"/>
              </w:rPr>
              <w:t>escuadrón</w:t>
            </w:r>
            <w:r w:rsidRPr="007072DA">
              <w:rPr>
                <w:rFonts w:ascii="Arial" w:hAnsi="Arial" w:cs="Arial"/>
                <w:sz w:val="16"/>
                <w:szCs w:val="16"/>
              </w:rPr>
              <w:t xml:space="preserve"> canino para </w:t>
            </w:r>
            <w:r w:rsidR="00190A16" w:rsidRPr="007072DA">
              <w:rPr>
                <w:rFonts w:ascii="Arial" w:hAnsi="Arial" w:cs="Arial"/>
                <w:sz w:val="16"/>
                <w:szCs w:val="16"/>
              </w:rPr>
              <w:t>detección</w:t>
            </w:r>
            <w:r w:rsidRPr="007072DA">
              <w:rPr>
                <w:rFonts w:ascii="Arial" w:hAnsi="Arial" w:cs="Arial"/>
                <w:sz w:val="16"/>
                <w:szCs w:val="16"/>
              </w:rPr>
              <w:t xml:space="preserve"> del </w:t>
            </w:r>
            <w:r w:rsidR="00190A16" w:rsidRPr="007072DA">
              <w:rPr>
                <w:rFonts w:ascii="Arial" w:hAnsi="Arial" w:cs="Arial"/>
                <w:sz w:val="16"/>
                <w:szCs w:val="16"/>
              </w:rPr>
              <w:t>tráfico</w:t>
            </w:r>
            <w:r w:rsidRPr="007072DA">
              <w:rPr>
                <w:rFonts w:ascii="Arial" w:hAnsi="Arial" w:cs="Arial"/>
                <w:sz w:val="16"/>
                <w:szCs w:val="16"/>
              </w:rPr>
              <w:t xml:space="preserve"> de flora y fauna apoyado en el banco de Olores de los especímenes que más son traficados, este banco de olores es utilizado para que el escuadrón canino, pueda detectar con mayor facilidad los especímenes cuando intentan ser traficados.</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vMerge/>
            <w:hideMark/>
          </w:tcPr>
          <w:p w:rsidR="000B34CE" w:rsidRPr="007072DA" w:rsidRDefault="000B34CE" w:rsidP="000D31B3">
            <w:pPr>
              <w:jc w:val="both"/>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Desarrollar el proyecto de investigación </w:t>
            </w:r>
            <w:r w:rsidR="00190A16" w:rsidRPr="007072DA">
              <w:rPr>
                <w:rFonts w:ascii="Arial" w:hAnsi="Arial" w:cs="Arial"/>
                <w:sz w:val="16"/>
                <w:szCs w:val="16"/>
              </w:rPr>
              <w:t>escuadrón</w:t>
            </w:r>
            <w:r w:rsidRPr="007072DA">
              <w:rPr>
                <w:rFonts w:ascii="Arial" w:hAnsi="Arial" w:cs="Arial"/>
                <w:sz w:val="16"/>
                <w:szCs w:val="16"/>
              </w:rPr>
              <w:t xml:space="preserve"> canino.</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continua el trabajo conjunto con la </w:t>
            </w:r>
            <w:r w:rsidR="00190A16" w:rsidRPr="007072DA">
              <w:rPr>
                <w:rFonts w:ascii="Arial" w:hAnsi="Arial" w:cs="Arial"/>
                <w:sz w:val="16"/>
                <w:szCs w:val="16"/>
              </w:rPr>
              <w:t>Policía</w:t>
            </w:r>
            <w:r w:rsidRPr="007072DA">
              <w:rPr>
                <w:rFonts w:ascii="Arial" w:hAnsi="Arial" w:cs="Arial"/>
                <w:sz w:val="16"/>
                <w:szCs w:val="16"/>
              </w:rPr>
              <w:t xml:space="preserve"> Nacional para entrenar nuevos escuadrones caninos que detectaran el </w:t>
            </w:r>
            <w:r w:rsidR="00190A16" w:rsidRPr="007072DA">
              <w:rPr>
                <w:rFonts w:ascii="Arial" w:hAnsi="Arial" w:cs="Arial"/>
                <w:sz w:val="16"/>
                <w:szCs w:val="16"/>
              </w:rPr>
              <w:t>tráfico</w:t>
            </w:r>
            <w:r w:rsidRPr="007072DA">
              <w:rPr>
                <w:rFonts w:ascii="Arial" w:hAnsi="Arial" w:cs="Arial"/>
                <w:sz w:val="16"/>
                <w:szCs w:val="16"/>
              </w:rPr>
              <w:t xml:space="preserve"> de flora y fauna silvestre, con apoyo del banco de olores de la SDA, el cual contiene los olores de las especies de la fauna y flora </w:t>
            </w:r>
            <w:r w:rsidR="00190A16" w:rsidRPr="007072DA">
              <w:rPr>
                <w:rFonts w:ascii="Arial" w:hAnsi="Arial" w:cs="Arial"/>
                <w:sz w:val="16"/>
                <w:szCs w:val="16"/>
              </w:rPr>
              <w:t>más</w:t>
            </w:r>
            <w:r w:rsidRPr="007072DA">
              <w:rPr>
                <w:rFonts w:ascii="Arial" w:hAnsi="Arial" w:cs="Arial"/>
                <w:sz w:val="16"/>
                <w:szCs w:val="16"/>
              </w:rPr>
              <w:t xml:space="preserve"> traficados.</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vMerge/>
            <w:hideMark/>
          </w:tcPr>
          <w:p w:rsidR="000B34CE" w:rsidRPr="007072DA" w:rsidRDefault="000B34CE" w:rsidP="000D31B3">
            <w:pPr>
              <w:jc w:val="both"/>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no al consumo de carne de tortuga</w:t>
            </w:r>
          </w:p>
        </w:tc>
        <w:tc>
          <w:tcPr>
            <w:tcW w:w="2499" w:type="dxa"/>
            <w:hideMark/>
          </w:tcPr>
          <w:p w:rsidR="000B34CE" w:rsidRPr="007072DA" w:rsidRDefault="00190A16" w:rsidP="000D31B3">
            <w:pPr>
              <w:jc w:val="both"/>
              <w:rPr>
                <w:rFonts w:ascii="Arial" w:hAnsi="Arial" w:cs="Arial"/>
                <w:sz w:val="16"/>
                <w:szCs w:val="16"/>
              </w:rPr>
            </w:pPr>
            <w:r w:rsidRPr="007072DA">
              <w:rPr>
                <w:rFonts w:ascii="Arial" w:hAnsi="Arial" w:cs="Arial"/>
                <w:sz w:val="16"/>
                <w:szCs w:val="16"/>
              </w:rPr>
              <w:t>Sensibilización</w:t>
            </w:r>
            <w:r w:rsidR="000B34CE" w:rsidRPr="007072DA">
              <w:rPr>
                <w:rFonts w:ascii="Arial" w:hAnsi="Arial" w:cs="Arial"/>
                <w:sz w:val="16"/>
                <w:szCs w:val="16"/>
              </w:rPr>
              <w:t xml:space="preserve"> realizada en las terminales terrestres y </w:t>
            </w:r>
            <w:r w:rsidRPr="007072DA">
              <w:rPr>
                <w:rFonts w:ascii="Arial" w:hAnsi="Arial" w:cs="Arial"/>
                <w:sz w:val="16"/>
                <w:szCs w:val="16"/>
              </w:rPr>
              <w:t>aérea</w:t>
            </w:r>
            <w:r w:rsidR="000B34CE" w:rsidRPr="007072DA">
              <w:rPr>
                <w:rFonts w:ascii="Arial" w:hAnsi="Arial" w:cs="Arial"/>
                <w:sz w:val="16"/>
                <w:szCs w:val="16"/>
              </w:rPr>
              <w:t xml:space="preserve"> de la capital con el fin de desestimular el comercio y consumo de esta carne</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vMerge w:val="restart"/>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Parte de la disminución del impacto del tráfico se derivará de las acciones que desde la perspectiva de control, se adelanten para prevenir conductas ilegales frente al aprovechamiento del recurso, de ahí nace la necesidad de que se ejecuten estrategias de conservación y protección de Fauna Silvestre que contemple acciones masivas que permitan a la ciudadanía la interiorización de la importancia que los especímenes de la fauna silvestre no sean extraídos de manera ilegal para la obtención de un bien o servicio que sólo beneficia a una persona en particular. Estas acciones se resumen en: Formular e implementar estrategias de comunicación masiva que permita sensibilizar a la ciudadanía respecto a la inconveniencia de tener animales silvestre en las casas, y evitar el arribo ilegal de </w:t>
            </w:r>
            <w:r w:rsidRPr="007072DA">
              <w:rPr>
                <w:rFonts w:ascii="Arial" w:hAnsi="Arial" w:cs="Arial"/>
                <w:sz w:val="16"/>
                <w:szCs w:val="16"/>
              </w:rPr>
              <w:lastRenderedPageBreak/>
              <w:t>fauna silvestre a nuestra jurisdicción mediante el desarrollo de un trabajo interinstitucional que obligue a que las autoridades ambientales, origen del mayor número de especímenes decomisados en nuestra jurisdicción, implementen medidas de control más eficaces en sus respectivas áreas de influencia.</w:t>
            </w:r>
            <w:r w:rsidRPr="007072DA">
              <w:rPr>
                <w:rFonts w:ascii="Arial" w:hAnsi="Arial" w:cs="Arial"/>
                <w:sz w:val="16"/>
                <w:szCs w:val="16"/>
              </w:rPr>
              <w:br/>
            </w:r>
            <w:r w:rsidRPr="007072DA">
              <w:rPr>
                <w:rFonts w:ascii="Arial" w:hAnsi="Arial" w:cs="Arial"/>
                <w:sz w:val="16"/>
                <w:szCs w:val="16"/>
              </w:rPr>
              <w:br/>
              <w:t xml:space="preserve">La ejecución de las acciones de </w:t>
            </w:r>
            <w:r w:rsidRPr="007072DA">
              <w:rPr>
                <w:rFonts w:ascii="Arial" w:hAnsi="Arial" w:cs="Arial"/>
                <w:sz w:val="16"/>
                <w:szCs w:val="16"/>
              </w:rPr>
              <w:lastRenderedPageBreak/>
              <w:t xml:space="preserve">protección a la flora silvestre se enmarca en las estrategias de prevención, divulgación y control, encaminadas a la planeación, coordinación y el trabajo interinstitucional, capacitación a la comunidad en general, divulgación mediante la realización de actos de convocatoria masiva, entrega de material de uso alternativo, el cubrimiento de medios de comunicación, y las labores de control y vigilancia a la comercialización de las especies de la flora silvestre en el perímetro urbano de la ciudad de Bogotá,  para  productos  no maderables. Por otra parte, con la adhesión de la SDA al pacto intersectorial  por la madera, se desarrollarán los compromisos relacionados con la divulgación del pacto, coordinación </w:t>
            </w:r>
            <w:r w:rsidRPr="007072DA">
              <w:rPr>
                <w:rFonts w:ascii="Arial" w:hAnsi="Arial" w:cs="Arial"/>
                <w:sz w:val="16"/>
                <w:szCs w:val="16"/>
              </w:rPr>
              <w:lastRenderedPageBreak/>
              <w:t>interinstitucional, código de conducta, cumplimiento a de la normatividad vigente,  suscripción de acuerdos con los gremios, implementación de incentivos, reducción de los tiempos de los trámites, para productos maderables.</w:t>
            </w: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Recuperación y liberación de la Tingua Azul</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se recuperaron y se trasladaron al CRRFFS el 100% de las </w:t>
            </w:r>
            <w:r w:rsidR="00190A16" w:rsidRPr="007072DA">
              <w:rPr>
                <w:rFonts w:ascii="Arial" w:hAnsi="Arial" w:cs="Arial"/>
                <w:sz w:val="16"/>
                <w:szCs w:val="16"/>
              </w:rPr>
              <w:t>Tingua</w:t>
            </w:r>
            <w:r w:rsidRPr="007072DA">
              <w:rPr>
                <w:rFonts w:ascii="Arial" w:hAnsi="Arial" w:cs="Arial"/>
                <w:sz w:val="16"/>
                <w:szCs w:val="16"/>
              </w:rPr>
              <w:t xml:space="preserve"> entregadas y/o reportadas por la </w:t>
            </w:r>
            <w:r w:rsidR="00190A16" w:rsidRPr="007072DA">
              <w:rPr>
                <w:rFonts w:ascii="Arial" w:hAnsi="Arial" w:cs="Arial"/>
                <w:sz w:val="16"/>
                <w:szCs w:val="16"/>
              </w:rPr>
              <w:t>población</w:t>
            </w:r>
            <w:r w:rsidRPr="007072DA">
              <w:rPr>
                <w:rFonts w:ascii="Arial" w:hAnsi="Arial" w:cs="Arial"/>
                <w:sz w:val="16"/>
                <w:szCs w:val="16"/>
              </w:rPr>
              <w:t xml:space="preserve"> del D.C.</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vMerge/>
            <w:hideMark/>
          </w:tcPr>
          <w:p w:rsidR="000B34CE" w:rsidRPr="007072DA" w:rsidRDefault="000B34CE" w:rsidP="000D31B3">
            <w:pPr>
              <w:jc w:val="both"/>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En tu casa no se sienten como en su casa</w:t>
            </w:r>
          </w:p>
        </w:tc>
        <w:tc>
          <w:tcPr>
            <w:tcW w:w="249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Esta campaña es permanente y consiste en la prevención a la tenencia ilegal de Fauna Silvestre en calidad de mascota, se </w:t>
            </w:r>
            <w:r w:rsidR="00190A16" w:rsidRPr="007072DA">
              <w:rPr>
                <w:rFonts w:ascii="Arial" w:hAnsi="Arial" w:cs="Arial"/>
                <w:sz w:val="16"/>
                <w:szCs w:val="16"/>
              </w:rPr>
              <w:t>realizó</w:t>
            </w:r>
            <w:r w:rsidRPr="007072DA">
              <w:rPr>
                <w:rFonts w:ascii="Arial" w:hAnsi="Arial" w:cs="Arial"/>
                <w:sz w:val="16"/>
                <w:szCs w:val="16"/>
              </w:rPr>
              <w:t xml:space="preserve"> en plazas de mercado, terminales de transporte terrestre, aeropuerto el Dorado, colegios, etc…</w:t>
            </w:r>
          </w:p>
        </w:tc>
        <w:tc>
          <w:tcPr>
            <w:tcW w:w="2268"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vMerge/>
            <w:hideMark/>
          </w:tcPr>
          <w:p w:rsidR="000B34CE" w:rsidRPr="007072DA" w:rsidRDefault="000B34CE" w:rsidP="000D31B3">
            <w:pPr>
              <w:jc w:val="both"/>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Prevención, control y manejo del Caracol GiganteAfricano</w:t>
            </w:r>
          </w:p>
        </w:tc>
        <w:tc>
          <w:tcPr>
            <w:tcW w:w="2499" w:type="dxa"/>
            <w:hideMark/>
          </w:tcPr>
          <w:p w:rsidR="000B34CE" w:rsidRPr="007072DA" w:rsidRDefault="000B34CE" w:rsidP="000B34CE">
            <w:pPr>
              <w:spacing w:after="160"/>
              <w:jc w:val="both"/>
              <w:rPr>
                <w:rFonts w:ascii="Arial" w:hAnsi="Arial" w:cs="Arial"/>
                <w:sz w:val="16"/>
                <w:szCs w:val="16"/>
              </w:rPr>
            </w:pPr>
            <w:r w:rsidRPr="007072DA">
              <w:rPr>
                <w:rFonts w:ascii="Arial" w:hAnsi="Arial" w:cs="Arial"/>
                <w:sz w:val="16"/>
                <w:szCs w:val="16"/>
              </w:rPr>
              <w:t>Esta campaña es permanente y consiste en la prevención al manejo y control de la especie del Caracol gigante africano. En esta campaña se hacen capacitaciones para dicha prevención, El caracol Gigante Africano (Achatina fulica) es reconocido a nivel mundial como una de las 100 especies exóticas invasoras más dañina en el mundo.</w:t>
            </w:r>
          </w:p>
        </w:tc>
        <w:tc>
          <w:tcPr>
            <w:tcW w:w="2268" w:type="dxa"/>
            <w:hideMark/>
          </w:tcPr>
          <w:p w:rsidR="000B34CE" w:rsidRPr="007072DA" w:rsidRDefault="000B34CE" w:rsidP="000B34CE">
            <w:pPr>
              <w:spacing w:after="160"/>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97/2015, 73/2015, 94/2015, 96/2015, 72/2015, 91/2015, 52/2015, 95/2015, 1162/2015, 945/2015.</w:t>
            </w:r>
          </w:p>
        </w:tc>
        <w:tc>
          <w:tcPr>
            <w:tcW w:w="2739" w:type="dxa"/>
            <w:vMerge/>
            <w:hideMark/>
          </w:tcPr>
          <w:p w:rsidR="000B34CE" w:rsidRPr="007072DA" w:rsidRDefault="000B34CE" w:rsidP="000B34CE">
            <w:pPr>
              <w:rPr>
                <w:rFonts w:ascii="Arial" w:hAnsi="Arial" w:cs="Arial"/>
                <w:sz w:val="16"/>
                <w:szCs w:val="16"/>
              </w:rPr>
            </w:pPr>
          </w:p>
        </w:tc>
      </w:tr>
      <w:tr w:rsidR="000B34CE" w:rsidRPr="007072DA" w:rsidTr="00F73EEB">
        <w:trPr>
          <w:trHeight w:val="3060"/>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Pacto Intersectorial por la Madera Legal en Colombia</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Frente al Pacto por la Madera, después de haber convocado a las 263 empresas de la madera más importantes de Bogotá, suscribieron el pacto 107 de ellas. El presente Pacto Intersectorial por la Madera Legal en Colombia no solo incorpora una significativa ampliación del número de firmantes y establece una muy conveniente y necesaria extensión de la vigencia del inicialmente suscrito en el año 2009, sino que además representa una clara orientación de política ambiental nacional al haber sido incluido en el Plan Nacional de Desarrollo 2010-2014 “Prosperidad para Todos”, aprobado mediante la Ley 1450 de 2011.</w:t>
            </w:r>
          </w:p>
        </w:tc>
        <w:tc>
          <w:tcPr>
            <w:tcW w:w="2268"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30/2015, 32/2015, 98/2015, 257/2015, 112/2015, 118/2015, 33/2015, 325/2015, 41/2015, 125/2015, 1162/2015, 945/2015</w:t>
            </w:r>
          </w:p>
        </w:tc>
        <w:tc>
          <w:tcPr>
            <w:tcW w:w="2739" w:type="dxa"/>
            <w:vMerge/>
            <w:hideMark/>
          </w:tcPr>
          <w:p w:rsidR="000B34CE" w:rsidRPr="007072DA" w:rsidRDefault="000B34CE" w:rsidP="000B34CE">
            <w:pPr>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Protección a las Palmas empleadas en semana santa para celebración del Domingo de Ramos</w:t>
            </w:r>
          </w:p>
        </w:tc>
        <w:tc>
          <w:tcPr>
            <w:tcW w:w="2499" w:type="dxa"/>
            <w:hideMark/>
          </w:tcPr>
          <w:p w:rsidR="000B34CE" w:rsidRPr="007072DA" w:rsidRDefault="00190A16" w:rsidP="000B34CE">
            <w:pPr>
              <w:jc w:val="both"/>
              <w:rPr>
                <w:rFonts w:ascii="Arial" w:hAnsi="Arial" w:cs="Arial"/>
                <w:sz w:val="16"/>
                <w:szCs w:val="16"/>
              </w:rPr>
            </w:pPr>
            <w:r w:rsidRPr="007072DA">
              <w:rPr>
                <w:rFonts w:ascii="Arial" w:hAnsi="Arial" w:cs="Arial"/>
                <w:sz w:val="16"/>
                <w:szCs w:val="16"/>
              </w:rPr>
              <w:t>Se</w:t>
            </w:r>
            <w:r w:rsidR="000B34CE" w:rsidRPr="007072DA">
              <w:rPr>
                <w:rFonts w:ascii="Arial" w:hAnsi="Arial" w:cs="Arial"/>
                <w:sz w:val="16"/>
                <w:szCs w:val="16"/>
              </w:rPr>
              <w:t xml:space="preserve"> </w:t>
            </w:r>
            <w:r w:rsidRPr="007072DA">
              <w:rPr>
                <w:rFonts w:ascii="Arial" w:hAnsi="Arial" w:cs="Arial"/>
                <w:sz w:val="16"/>
                <w:szCs w:val="16"/>
              </w:rPr>
              <w:t>realizó</w:t>
            </w:r>
            <w:r w:rsidR="000B34CE" w:rsidRPr="007072DA">
              <w:rPr>
                <w:rFonts w:ascii="Arial" w:hAnsi="Arial" w:cs="Arial"/>
                <w:sz w:val="16"/>
                <w:szCs w:val="16"/>
              </w:rPr>
              <w:t xml:space="preserve"> la  estrategia de prevención, conservación y protección de la flora y fauna silvestre correspondiente a la promulgación de la campaña de palmas silvestres (Palma de Cera, Palma de Vino e Iraca) que son utilizadas en domingo de ramos.</w:t>
            </w:r>
            <w:r w:rsidR="000B34CE" w:rsidRPr="007072DA">
              <w:rPr>
                <w:rFonts w:ascii="Arial" w:hAnsi="Arial" w:cs="Arial"/>
                <w:sz w:val="16"/>
                <w:szCs w:val="16"/>
              </w:rPr>
              <w:br/>
              <w:t>8 reuniones interinstitucionales, 16 talleres de sensibilización, un evento de lanzamiento y uno de cierre, se adquirieron 30.000 unidades de follaje de palma robelina, 1.000 ramos de amero y 7 bultos de amero; se realizaron actividades de control y la disposición del material incautado por la autoridad policiva.</w:t>
            </w:r>
          </w:p>
        </w:tc>
        <w:tc>
          <w:tcPr>
            <w:tcW w:w="2268"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30/2015, 32/2015, 98/2015, 257/2015, 112/2015, 118/2015, 33/2015, 325/2015, 41/2015, 125/2015, 1162/2015, 945/2015</w:t>
            </w:r>
          </w:p>
        </w:tc>
        <w:tc>
          <w:tcPr>
            <w:tcW w:w="2739" w:type="dxa"/>
            <w:vMerge/>
            <w:hideMark/>
          </w:tcPr>
          <w:p w:rsidR="000B34CE" w:rsidRPr="007072DA" w:rsidRDefault="000B34CE" w:rsidP="000B34CE">
            <w:pPr>
              <w:rPr>
                <w:rFonts w:ascii="Arial" w:hAnsi="Arial" w:cs="Arial"/>
                <w:sz w:val="16"/>
                <w:szCs w:val="16"/>
              </w:rPr>
            </w:pPr>
          </w:p>
        </w:tc>
      </w:tr>
      <w:tr w:rsidR="000B34CE" w:rsidRPr="007072DA" w:rsidTr="00F73EEB">
        <w:trPr>
          <w:trHeight w:val="3540"/>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Desarrollar la estrategia de sensibilización para promover la protección de la fauna silvestre: Protección al Laurel de cera empleado para celebración del día de la cruz el 3 de mayo</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Durante la ejecución de la campaña distrital de protección al laurel de cera (Morella parvifolia) empleado para la fabricación de la cruz de mayo, “Protege al laurel de cera, no cargues con esta cruz”, se  efectuaron actividades enmarcadas en las estrategias de prevención, divulgación y control, acciones encaminadas a la planeación, coordinación y trabajo interinstitucional, capacitación a la comunidad en general, divulgación mediante la realización de actos de convocatoria masiva, entrega de material vegetal y el cubrimiento de medios de comunicación, y labores de control y vigilancia a la comercialización del laurel de cera en el perímetro urbano de la ciudad de Bogotá.</w:t>
            </w:r>
          </w:p>
        </w:tc>
        <w:tc>
          <w:tcPr>
            <w:tcW w:w="2268"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30/2015, 32/2015, 98/2015, 257/2015, 112/2015, 118/2015, 33/2015, 325/2015, 41/2015, 125/2015, 1162/2015, 945/2015</w:t>
            </w:r>
          </w:p>
        </w:tc>
        <w:tc>
          <w:tcPr>
            <w:tcW w:w="2739" w:type="dxa"/>
            <w:vMerge/>
            <w:hideMark/>
          </w:tcPr>
          <w:p w:rsidR="000B34CE" w:rsidRPr="007072DA" w:rsidRDefault="000B34CE" w:rsidP="000B34CE">
            <w:pPr>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Protección a los musgos y demás especies asociadas a ésta, empleadas para celebrar navidad</w:t>
            </w:r>
          </w:p>
        </w:tc>
        <w:tc>
          <w:tcPr>
            <w:tcW w:w="2499" w:type="dxa"/>
            <w:hideMark/>
          </w:tcPr>
          <w:p w:rsidR="000B34CE" w:rsidRPr="007072DA" w:rsidRDefault="00190A16" w:rsidP="000B34CE">
            <w:pPr>
              <w:jc w:val="both"/>
              <w:rPr>
                <w:rFonts w:ascii="Arial" w:hAnsi="Arial" w:cs="Arial"/>
                <w:sz w:val="16"/>
                <w:szCs w:val="16"/>
              </w:rPr>
            </w:pPr>
            <w:r w:rsidRPr="007072DA">
              <w:rPr>
                <w:rFonts w:ascii="Arial" w:hAnsi="Arial" w:cs="Arial"/>
                <w:sz w:val="16"/>
                <w:szCs w:val="16"/>
              </w:rPr>
              <w:t>Capacitación</w:t>
            </w:r>
            <w:r w:rsidR="000B34CE" w:rsidRPr="007072DA">
              <w:rPr>
                <w:rFonts w:ascii="Arial" w:hAnsi="Arial" w:cs="Arial"/>
                <w:sz w:val="16"/>
                <w:szCs w:val="16"/>
              </w:rPr>
              <w:t xml:space="preserve"> y </w:t>
            </w:r>
            <w:r w:rsidRPr="007072DA">
              <w:rPr>
                <w:rFonts w:ascii="Arial" w:hAnsi="Arial" w:cs="Arial"/>
                <w:sz w:val="16"/>
                <w:szCs w:val="16"/>
              </w:rPr>
              <w:t>sensibilización</w:t>
            </w:r>
            <w:r w:rsidR="000B34CE" w:rsidRPr="007072DA">
              <w:rPr>
                <w:rFonts w:ascii="Arial" w:hAnsi="Arial" w:cs="Arial"/>
                <w:sz w:val="16"/>
                <w:szCs w:val="16"/>
              </w:rPr>
              <w:t xml:space="preserve"> para promover la </w:t>
            </w:r>
            <w:r w:rsidRPr="007072DA">
              <w:rPr>
                <w:rFonts w:ascii="Arial" w:hAnsi="Arial" w:cs="Arial"/>
                <w:sz w:val="16"/>
                <w:szCs w:val="16"/>
              </w:rPr>
              <w:t>protección</w:t>
            </w:r>
            <w:r w:rsidR="000B34CE" w:rsidRPr="007072DA">
              <w:rPr>
                <w:rFonts w:ascii="Arial" w:hAnsi="Arial" w:cs="Arial"/>
                <w:sz w:val="16"/>
                <w:szCs w:val="16"/>
              </w:rPr>
              <w:t xml:space="preserve"> del musgo y de otras especies de la flora afectadas por su uso en la </w:t>
            </w:r>
            <w:r w:rsidRPr="007072DA">
              <w:rPr>
                <w:rFonts w:ascii="Arial" w:hAnsi="Arial" w:cs="Arial"/>
                <w:sz w:val="16"/>
                <w:szCs w:val="16"/>
              </w:rPr>
              <w:t>época</w:t>
            </w:r>
            <w:r w:rsidR="000B34CE" w:rsidRPr="007072DA">
              <w:rPr>
                <w:rFonts w:ascii="Arial" w:hAnsi="Arial" w:cs="Arial"/>
                <w:sz w:val="16"/>
                <w:szCs w:val="16"/>
              </w:rPr>
              <w:t xml:space="preserve"> </w:t>
            </w:r>
            <w:r w:rsidRPr="007072DA">
              <w:rPr>
                <w:rFonts w:ascii="Arial" w:hAnsi="Arial" w:cs="Arial"/>
                <w:sz w:val="16"/>
                <w:szCs w:val="16"/>
              </w:rPr>
              <w:t>decembrina</w:t>
            </w:r>
            <w:r w:rsidR="000B34CE" w:rsidRPr="007072DA">
              <w:rPr>
                <w:rFonts w:ascii="Arial" w:hAnsi="Arial" w:cs="Arial"/>
                <w:sz w:val="16"/>
                <w:szCs w:val="16"/>
              </w:rPr>
              <w:t>.</w:t>
            </w:r>
          </w:p>
        </w:tc>
        <w:tc>
          <w:tcPr>
            <w:tcW w:w="2268"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30/2015, 32/2015, 98/2015, 257/2015, 112/2015, 118/2015, 33/2015, 325/2015, 41/2015, 125/2015, 1162/2015, 945/2015</w:t>
            </w:r>
          </w:p>
        </w:tc>
        <w:tc>
          <w:tcPr>
            <w:tcW w:w="2739" w:type="dxa"/>
            <w:vMerge/>
            <w:hideMark/>
          </w:tcPr>
          <w:p w:rsidR="000B34CE" w:rsidRPr="007072DA" w:rsidRDefault="000B34CE" w:rsidP="000B34CE">
            <w:pPr>
              <w:rPr>
                <w:rFonts w:ascii="Arial" w:hAnsi="Arial" w:cs="Arial"/>
                <w:sz w:val="16"/>
                <w:szCs w:val="16"/>
              </w:rPr>
            </w:pPr>
          </w:p>
        </w:tc>
      </w:tr>
      <w:tr w:rsidR="000B34CE" w:rsidRPr="007072DA" w:rsidTr="00F73EEB">
        <w:trPr>
          <w:trHeight w:val="3135"/>
        </w:trPr>
        <w:tc>
          <w:tcPr>
            <w:tcW w:w="1780" w:type="dxa"/>
            <w:noWrap/>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409_Disminuir en 80% el impacto del tráfico de fauna y flora en Bogotá</w:t>
            </w:r>
          </w:p>
        </w:tc>
        <w:tc>
          <w:tcPr>
            <w:tcW w:w="21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Realizar visitas de valoración, diagnóstico, medición y  la emisión de conceptos técnicos relacionados con tratamientos </w:t>
            </w:r>
            <w:r w:rsidR="000D31B3" w:rsidRPr="007072DA">
              <w:rPr>
                <w:rFonts w:ascii="Arial" w:hAnsi="Arial" w:cs="Arial"/>
                <w:sz w:val="16"/>
                <w:szCs w:val="16"/>
              </w:rPr>
              <w:t>silvicultura les</w:t>
            </w:r>
            <w:r w:rsidRPr="007072DA">
              <w:rPr>
                <w:rFonts w:ascii="Arial" w:hAnsi="Arial" w:cs="Arial"/>
                <w:sz w:val="16"/>
                <w:szCs w:val="16"/>
              </w:rPr>
              <w:t>.</w:t>
            </w:r>
          </w:p>
        </w:tc>
        <w:tc>
          <w:tcPr>
            <w:tcW w:w="2499" w:type="dxa"/>
            <w:hideMark/>
          </w:tcPr>
          <w:p w:rsidR="000B34CE" w:rsidRPr="007072DA" w:rsidRDefault="000B34CE" w:rsidP="000D31B3">
            <w:pPr>
              <w:spacing w:after="160"/>
              <w:jc w:val="both"/>
              <w:rPr>
                <w:rFonts w:ascii="Arial" w:hAnsi="Arial" w:cs="Arial"/>
                <w:sz w:val="16"/>
                <w:szCs w:val="16"/>
              </w:rPr>
            </w:pPr>
            <w:r w:rsidRPr="007072DA">
              <w:rPr>
                <w:rFonts w:ascii="Arial" w:hAnsi="Arial" w:cs="Arial"/>
                <w:sz w:val="16"/>
                <w:szCs w:val="16"/>
              </w:rPr>
              <w:t xml:space="preserve">En la vigencia 2015 el grupo de Silvicultura  realizo la evaluación de 36,432 </w:t>
            </w:r>
            <w:r w:rsidR="000D31B3" w:rsidRPr="007072DA">
              <w:rPr>
                <w:rFonts w:ascii="Arial" w:hAnsi="Arial" w:cs="Arial"/>
                <w:sz w:val="16"/>
                <w:szCs w:val="16"/>
              </w:rPr>
              <w:t>árboles,</w:t>
            </w:r>
            <w:r w:rsidRPr="007072DA">
              <w:rPr>
                <w:rFonts w:ascii="Arial" w:hAnsi="Arial" w:cs="Arial"/>
                <w:sz w:val="16"/>
                <w:szCs w:val="16"/>
              </w:rPr>
              <w:t xml:space="preserve"> la magnitud propuesta para esta </w:t>
            </w:r>
            <w:r w:rsidR="000D31B3" w:rsidRPr="007072DA">
              <w:rPr>
                <w:rFonts w:ascii="Arial" w:hAnsi="Arial" w:cs="Arial"/>
                <w:sz w:val="16"/>
                <w:szCs w:val="16"/>
              </w:rPr>
              <w:t>vigencia</w:t>
            </w:r>
            <w:r w:rsidRPr="007072DA">
              <w:rPr>
                <w:rFonts w:ascii="Arial" w:hAnsi="Arial" w:cs="Arial"/>
                <w:sz w:val="16"/>
                <w:szCs w:val="16"/>
              </w:rPr>
              <w:t xml:space="preserve"> era de  35,000, cumpliendo al 100% con la meta de la vigencia.</w:t>
            </w:r>
            <w:r w:rsidRPr="007072DA">
              <w:rPr>
                <w:rFonts w:ascii="Arial" w:hAnsi="Arial" w:cs="Arial"/>
                <w:sz w:val="16"/>
                <w:szCs w:val="16"/>
              </w:rPr>
              <w:br/>
            </w:r>
            <w:r w:rsidRPr="007072DA">
              <w:rPr>
                <w:rFonts w:ascii="Arial" w:hAnsi="Arial" w:cs="Arial"/>
                <w:sz w:val="16"/>
                <w:szCs w:val="16"/>
              </w:rPr>
              <w:br/>
            </w:r>
          </w:p>
        </w:tc>
        <w:tc>
          <w:tcPr>
            <w:tcW w:w="2268" w:type="dxa"/>
            <w:hideMark/>
          </w:tcPr>
          <w:p w:rsidR="000B34CE" w:rsidRPr="007072DA" w:rsidRDefault="000B34CE" w:rsidP="000D31B3">
            <w:pPr>
              <w:spacing w:after="160"/>
              <w:jc w:val="both"/>
              <w:rPr>
                <w:rFonts w:ascii="Arial" w:hAnsi="Arial" w:cs="Arial"/>
                <w:sz w:val="16"/>
                <w:szCs w:val="16"/>
              </w:rPr>
            </w:pPr>
            <w:r w:rsidRPr="007072DA">
              <w:rPr>
                <w:rFonts w:ascii="Arial" w:hAnsi="Arial" w:cs="Arial"/>
                <w:sz w:val="16"/>
                <w:szCs w:val="16"/>
              </w:rPr>
              <w:t>Conservación Y Adecuado Manejo De La Fauna Y La Flora</w:t>
            </w:r>
          </w:p>
        </w:tc>
        <w:tc>
          <w:tcPr>
            <w:tcW w:w="1634"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24/2015, 1166/2015, 446/2015, 56/2015, 606/2015, 445/2015, 89/2015, 80/2015, 102/2015, 87/2015, 23/2015, 111/2015, 228/2015, 538/2015, 730/2015, 444/2015, 271/2015, 823/2015, 496/2015, 505/2015, 55/2015, 151/2015, 562/2015, 754/2015, 336/2015, 656/2015, 127/2015, 43/2015, 354/2015, 88/2015, 820/2015, 131/2015, 578/2015, 398/2015, 1162/2015.</w:t>
            </w:r>
          </w:p>
        </w:tc>
        <w:tc>
          <w:tcPr>
            <w:tcW w:w="2739" w:type="dxa"/>
            <w:hideMark/>
          </w:tcPr>
          <w:p w:rsidR="000B34CE" w:rsidRPr="007072DA" w:rsidRDefault="000B34CE" w:rsidP="000D31B3">
            <w:pPr>
              <w:jc w:val="both"/>
              <w:rPr>
                <w:rFonts w:ascii="Arial" w:hAnsi="Arial" w:cs="Arial"/>
                <w:sz w:val="16"/>
                <w:szCs w:val="16"/>
              </w:rPr>
            </w:pPr>
            <w:r w:rsidRPr="007072DA">
              <w:rPr>
                <w:rFonts w:ascii="Arial" w:hAnsi="Arial" w:cs="Arial"/>
                <w:sz w:val="16"/>
                <w:szCs w:val="16"/>
              </w:rPr>
              <w:t xml:space="preserve">Con el fin de conocer el estado actual del arbolado en el distrito y así implementar las actividades silviculturales necesarias para contribuir con el aumento del 40% de la oferta ambiental del arbolado urbano en el DC., la estrategia del arbolado urbano busca reconocer, consolidar e incrementar la perspectiva del árbol en la ciudad como un elemento fundamental en la calidad ambiental, considerando las múltiples funciones ecológicas, paisajísticas, de conectividad, de bienestar, sociales, entre otras, a partir de la  implementación de técnicas de manejo apropiadas que garanticen la calidad y sostenibilidad del arbolado urbano </w:t>
            </w:r>
            <w:r w:rsidRPr="007072DA">
              <w:rPr>
                <w:rFonts w:ascii="Arial" w:hAnsi="Arial" w:cs="Arial"/>
                <w:sz w:val="16"/>
                <w:szCs w:val="16"/>
              </w:rPr>
              <w:lastRenderedPageBreak/>
              <w:t>en la ciudad, razón por la cual se hace necesario la evaluación del mismo y así conocer el estado actual e implementar las actividades silviculturales necesarias.</w:t>
            </w: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Verificar el cumplimiento de los tratamientos silviculturales autorizadas y de su compensación pecuniaria o en árboles.</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se realizaron 2850 seguimientos por parte del grupo </w:t>
            </w:r>
            <w:r w:rsidR="00190A16" w:rsidRPr="007072DA">
              <w:rPr>
                <w:rFonts w:ascii="Arial" w:hAnsi="Arial" w:cs="Arial"/>
                <w:sz w:val="16"/>
                <w:szCs w:val="16"/>
              </w:rPr>
              <w:t>técnico</w:t>
            </w:r>
          </w:p>
        </w:tc>
        <w:tc>
          <w:tcPr>
            <w:tcW w:w="2268"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420/2015, 59/2015, 84/2015, 707/2015, 105/2015, 874/2015, 1330/2015, 1294/2015.</w:t>
            </w:r>
          </w:p>
        </w:tc>
        <w:tc>
          <w:tcPr>
            <w:tcW w:w="2739" w:type="dxa"/>
            <w:vMerge w:val="restart"/>
            <w:hideMark/>
          </w:tcPr>
          <w:p w:rsidR="000B34CE" w:rsidRPr="007072DA" w:rsidRDefault="000B34CE" w:rsidP="000B34CE">
            <w:pPr>
              <w:rPr>
                <w:rFonts w:ascii="Arial" w:hAnsi="Arial" w:cs="Arial"/>
                <w:sz w:val="16"/>
                <w:szCs w:val="16"/>
              </w:rPr>
            </w:pPr>
            <w:r w:rsidRPr="007072DA">
              <w:rPr>
                <w:rFonts w:ascii="Arial" w:hAnsi="Arial" w:cs="Arial"/>
                <w:sz w:val="16"/>
                <w:szCs w:val="16"/>
              </w:rPr>
              <w:t xml:space="preserve">Se verifica el cumplimiento de las actividades silviculturales autorizadas y de su compensación pecuniaria o en árboles. Las actuaciones técnicas deben ser complementadas con actuaciones jurídicas las cuales son las actuaciones finales con las que se </w:t>
            </w:r>
            <w:r w:rsidRPr="007072DA">
              <w:rPr>
                <w:rFonts w:ascii="Arial" w:hAnsi="Arial" w:cs="Arial"/>
                <w:sz w:val="16"/>
                <w:szCs w:val="16"/>
              </w:rPr>
              <w:lastRenderedPageBreak/>
              <w:t>da por terminado la solicitud.  A la fecha se tiene más de 9.000 actuaciones entre concepto técnicos de alto riesgo y actos administrativos (permisos) pendientes para realizarles seguimiento técnico para por último, generar la actuación jurídica pertinente y cerrar así los expedientes</w:t>
            </w: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Realizar la notificación de los actos administrativos emitidos por el área jurídica de silvicultura.</w:t>
            </w:r>
          </w:p>
        </w:tc>
        <w:tc>
          <w:tcPr>
            <w:tcW w:w="2499" w:type="dxa"/>
            <w:hideMark/>
          </w:tcPr>
          <w:p w:rsidR="000B34CE" w:rsidRPr="007072DA" w:rsidRDefault="00190A16" w:rsidP="000B34CE">
            <w:pPr>
              <w:jc w:val="both"/>
              <w:rPr>
                <w:rFonts w:ascii="Arial" w:hAnsi="Arial" w:cs="Arial"/>
                <w:sz w:val="16"/>
                <w:szCs w:val="16"/>
              </w:rPr>
            </w:pPr>
            <w:r w:rsidRPr="007072DA">
              <w:rPr>
                <w:rFonts w:ascii="Arial" w:hAnsi="Arial" w:cs="Arial"/>
                <w:sz w:val="16"/>
                <w:szCs w:val="16"/>
              </w:rPr>
              <w:t>Se</w:t>
            </w:r>
            <w:r w:rsidR="000B34CE" w:rsidRPr="007072DA">
              <w:rPr>
                <w:rFonts w:ascii="Arial" w:hAnsi="Arial" w:cs="Arial"/>
                <w:sz w:val="16"/>
                <w:szCs w:val="16"/>
              </w:rPr>
              <w:t xml:space="preserve"> realizaron 2496 actos administrativos por parte del equipo </w:t>
            </w:r>
            <w:r w:rsidRPr="007072DA">
              <w:rPr>
                <w:rFonts w:ascii="Arial" w:hAnsi="Arial" w:cs="Arial"/>
                <w:sz w:val="16"/>
                <w:szCs w:val="16"/>
              </w:rPr>
              <w:t>jurídico</w:t>
            </w:r>
            <w:r w:rsidR="000B34CE" w:rsidRPr="007072DA">
              <w:rPr>
                <w:rFonts w:ascii="Arial" w:hAnsi="Arial" w:cs="Arial"/>
                <w:sz w:val="16"/>
                <w:szCs w:val="16"/>
              </w:rPr>
              <w:t xml:space="preserve"> con su respectiva </w:t>
            </w:r>
            <w:r w:rsidRPr="007072DA">
              <w:rPr>
                <w:rFonts w:ascii="Arial" w:hAnsi="Arial" w:cs="Arial"/>
                <w:sz w:val="16"/>
                <w:szCs w:val="16"/>
              </w:rPr>
              <w:t>notificación</w:t>
            </w:r>
            <w:r w:rsidR="000B34CE" w:rsidRPr="007072DA">
              <w:rPr>
                <w:rFonts w:ascii="Arial" w:hAnsi="Arial" w:cs="Arial"/>
                <w:sz w:val="16"/>
                <w:szCs w:val="16"/>
              </w:rPr>
              <w:t>.</w:t>
            </w:r>
          </w:p>
        </w:tc>
        <w:tc>
          <w:tcPr>
            <w:tcW w:w="2268"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837/2015, 549/2015, 120/2015, 38/2015, 59/2015, 183/2015, 35/2015, 37/2015, 707/2015, 50/2015, 47/2015, 310/2015, 100/2015, 105/2015, 1085/2015, 74/2015, 99/2015, 731/2015, 389/2015, 838/2015, 1117/2015, 77/2015, 874/2015, 1321/2015, 1300/2015, 1335/2015, 1295/2015, 1315/2015, 1305/2015, 1296/2015, 1297/2015, 1294/2015, 1298/2015.</w:t>
            </w:r>
          </w:p>
        </w:tc>
        <w:tc>
          <w:tcPr>
            <w:tcW w:w="2739" w:type="dxa"/>
            <w:vMerge/>
            <w:hideMark/>
          </w:tcPr>
          <w:p w:rsidR="000B34CE" w:rsidRPr="007072DA" w:rsidRDefault="000B34CE" w:rsidP="000B34CE">
            <w:pPr>
              <w:rPr>
                <w:rFonts w:ascii="Arial" w:hAnsi="Arial" w:cs="Arial"/>
                <w:sz w:val="16"/>
                <w:szCs w:val="16"/>
              </w:rPr>
            </w:pP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Realizar visitas de seguimiento, análisis de la situación encontrada y emisión de conceptos técnicos de las plantaciones realizadas por el </w:t>
            </w:r>
            <w:r w:rsidR="00190A16" w:rsidRPr="007072DA">
              <w:rPr>
                <w:rFonts w:ascii="Arial" w:hAnsi="Arial" w:cs="Arial"/>
                <w:sz w:val="16"/>
                <w:szCs w:val="16"/>
              </w:rPr>
              <w:t>Jardín</w:t>
            </w:r>
            <w:r w:rsidRPr="007072DA">
              <w:rPr>
                <w:rFonts w:ascii="Arial" w:hAnsi="Arial" w:cs="Arial"/>
                <w:sz w:val="16"/>
                <w:szCs w:val="16"/>
              </w:rPr>
              <w:t xml:space="preserve"> </w:t>
            </w:r>
            <w:r w:rsidR="00190A16" w:rsidRPr="007072DA">
              <w:rPr>
                <w:rFonts w:ascii="Arial" w:hAnsi="Arial" w:cs="Arial"/>
                <w:sz w:val="16"/>
                <w:szCs w:val="16"/>
              </w:rPr>
              <w:t>Botánico</w:t>
            </w:r>
            <w:r w:rsidRPr="007072DA">
              <w:rPr>
                <w:rFonts w:ascii="Arial" w:hAnsi="Arial" w:cs="Arial"/>
                <w:sz w:val="16"/>
                <w:szCs w:val="16"/>
              </w:rPr>
              <w:t xml:space="preserve"> de </w:t>
            </w:r>
            <w:r w:rsidR="00190A16" w:rsidRPr="007072DA">
              <w:rPr>
                <w:rFonts w:ascii="Arial" w:hAnsi="Arial" w:cs="Arial"/>
                <w:sz w:val="16"/>
                <w:szCs w:val="16"/>
              </w:rPr>
              <w:t>Bogotá</w:t>
            </w:r>
            <w:r w:rsidRPr="007072DA">
              <w:rPr>
                <w:rFonts w:ascii="Arial" w:hAnsi="Arial" w:cs="Arial"/>
                <w:sz w:val="16"/>
                <w:szCs w:val="16"/>
              </w:rPr>
              <w:t>.</w:t>
            </w:r>
          </w:p>
        </w:tc>
        <w:tc>
          <w:tcPr>
            <w:tcW w:w="2499" w:type="dxa"/>
            <w:hideMark/>
          </w:tcPr>
          <w:p w:rsidR="000B34CE" w:rsidRPr="007072DA" w:rsidRDefault="00190A16" w:rsidP="000B34CE">
            <w:pPr>
              <w:spacing w:after="160"/>
              <w:jc w:val="both"/>
              <w:rPr>
                <w:rFonts w:ascii="Arial" w:hAnsi="Arial" w:cs="Arial"/>
                <w:sz w:val="16"/>
                <w:szCs w:val="16"/>
              </w:rPr>
            </w:pPr>
            <w:r w:rsidRPr="007072DA">
              <w:rPr>
                <w:rFonts w:ascii="Arial" w:hAnsi="Arial" w:cs="Arial"/>
                <w:sz w:val="16"/>
                <w:szCs w:val="16"/>
              </w:rPr>
              <w:t>Se</w:t>
            </w:r>
            <w:r w:rsidR="000B34CE" w:rsidRPr="007072DA">
              <w:rPr>
                <w:rFonts w:ascii="Arial" w:hAnsi="Arial" w:cs="Arial"/>
                <w:sz w:val="16"/>
                <w:szCs w:val="16"/>
              </w:rPr>
              <w:t xml:space="preserve">  </w:t>
            </w:r>
            <w:r w:rsidRPr="007072DA">
              <w:rPr>
                <w:rFonts w:ascii="Arial" w:hAnsi="Arial" w:cs="Arial"/>
                <w:sz w:val="16"/>
                <w:szCs w:val="16"/>
              </w:rPr>
              <w:t>realizó</w:t>
            </w:r>
            <w:r w:rsidR="000B34CE" w:rsidRPr="007072DA">
              <w:rPr>
                <w:rFonts w:ascii="Arial" w:hAnsi="Arial" w:cs="Arial"/>
                <w:sz w:val="16"/>
                <w:szCs w:val="16"/>
              </w:rPr>
              <w:t xml:space="preserve"> seguimiento a 48,388 </w:t>
            </w:r>
            <w:r w:rsidRPr="007072DA">
              <w:rPr>
                <w:rFonts w:ascii="Arial" w:hAnsi="Arial" w:cs="Arial"/>
                <w:sz w:val="16"/>
                <w:szCs w:val="16"/>
              </w:rPr>
              <w:t>árboles</w:t>
            </w:r>
            <w:r w:rsidR="000B34CE" w:rsidRPr="007072DA">
              <w:rPr>
                <w:rFonts w:ascii="Arial" w:hAnsi="Arial" w:cs="Arial"/>
                <w:sz w:val="16"/>
                <w:szCs w:val="16"/>
              </w:rPr>
              <w:t xml:space="preserve"> plantados, el seguimiento a plantaciones se </w:t>
            </w:r>
            <w:r w:rsidRPr="007072DA">
              <w:rPr>
                <w:rFonts w:ascii="Arial" w:hAnsi="Arial" w:cs="Arial"/>
                <w:sz w:val="16"/>
                <w:szCs w:val="16"/>
              </w:rPr>
              <w:t>realizó</w:t>
            </w:r>
            <w:r w:rsidR="000B34CE" w:rsidRPr="007072DA">
              <w:rPr>
                <w:rFonts w:ascii="Arial" w:hAnsi="Arial" w:cs="Arial"/>
                <w:sz w:val="16"/>
                <w:szCs w:val="16"/>
              </w:rPr>
              <w:t xml:space="preserve"> mediante  un análisis de la situación encontrada con el fin de emitir un concepto técnico de las plantaciones realizadas por el Jardín Botánico de Bogotá – JBB.</w:t>
            </w:r>
          </w:p>
        </w:tc>
        <w:tc>
          <w:tcPr>
            <w:tcW w:w="2268" w:type="dxa"/>
            <w:noWrap/>
            <w:hideMark/>
          </w:tcPr>
          <w:p w:rsidR="000B34CE" w:rsidRPr="007072DA" w:rsidRDefault="000B34CE" w:rsidP="000B34CE">
            <w:pPr>
              <w:spacing w:after="160"/>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83/2015, 18/2015, 1328/2015, 1307/2015</w:t>
            </w:r>
          </w:p>
        </w:tc>
        <w:tc>
          <w:tcPr>
            <w:tcW w:w="2739" w:type="dxa"/>
            <w:hideMark/>
          </w:tcPr>
          <w:p w:rsidR="000B34CE" w:rsidRPr="007072DA" w:rsidRDefault="000B34CE" w:rsidP="000B34CE">
            <w:pPr>
              <w:rPr>
                <w:rFonts w:ascii="Arial" w:hAnsi="Arial" w:cs="Arial"/>
                <w:sz w:val="16"/>
                <w:szCs w:val="16"/>
              </w:rPr>
            </w:pPr>
            <w:r w:rsidRPr="007072DA">
              <w:rPr>
                <w:rFonts w:ascii="Arial" w:hAnsi="Arial" w:cs="Arial"/>
                <w:sz w:val="16"/>
                <w:szCs w:val="16"/>
              </w:rPr>
              <w:t>Al realizar los seguimientos se certifica la ejecución de las actividades silviculturales autorizadas, derivando en la disminución de los factores de deterioro a través de la eliminación de los individuos con características deficientes, favoreciendo así la plantación de nuevo arbolado de calidad, que aumente el servicio ambiental ofertado.</w:t>
            </w: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Realizar visitas de seguimiento, análisis de la situación encontrada y emisión de conceptos técnicos de las podas realizadas por la UAESP, </w:t>
            </w:r>
            <w:r w:rsidR="00190A16" w:rsidRPr="007072DA">
              <w:rPr>
                <w:rFonts w:ascii="Arial" w:hAnsi="Arial" w:cs="Arial"/>
                <w:sz w:val="16"/>
                <w:szCs w:val="16"/>
              </w:rPr>
              <w:t>Condensa</w:t>
            </w:r>
            <w:r w:rsidRPr="007072DA">
              <w:rPr>
                <w:rFonts w:ascii="Arial" w:hAnsi="Arial" w:cs="Arial"/>
                <w:sz w:val="16"/>
                <w:szCs w:val="16"/>
              </w:rPr>
              <w:t>, Acueducto o Empresa de Energía de Bogotá.</w:t>
            </w:r>
          </w:p>
        </w:tc>
        <w:tc>
          <w:tcPr>
            <w:tcW w:w="2499" w:type="dxa"/>
            <w:hideMark/>
          </w:tcPr>
          <w:p w:rsidR="000B34CE" w:rsidRPr="007072DA" w:rsidRDefault="00190A16" w:rsidP="000B34CE">
            <w:pPr>
              <w:spacing w:after="160"/>
              <w:jc w:val="both"/>
              <w:rPr>
                <w:rFonts w:ascii="Arial" w:hAnsi="Arial" w:cs="Arial"/>
                <w:sz w:val="16"/>
                <w:szCs w:val="16"/>
              </w:rPr>
            </w:pPr>
            <w:r w:rsidRPr="007072DA">
              <w:rPr>
                <w:rFonts w:ascii="Arial" w:hAnsi="Arial" w:cs="Arial"/>
                <w:sz w:val="16"/>
                <w:szCs w:val="16"/>
              </w:rPr>
              <w:t>La</w:t>
            </w:r>
            <w:r w:rsidR="000B34CE" w:rsidRPr="007072DA">
              <w:rPr>
                <w:rFonts w:ascii="Arial" w:hAnsi="Arial" w:cs="Arial"/>
                <w:sz w:val="16"/>
                <w:szCs w:val="16"/>
              </w:rPr>
              <w:t xml:space="preserve"> </w:t>
            </w:r>
            <w:r w:rsidRPr="007072DA">
              <w:rPr>
                <w:rFonts w:ascii="Arial" w:hAnsi="Arial" w:cs="Arial"/>
                <w:sz w:val="16"/>
                <w:szCs w:val="16"/>
              </w:rPr>
              <w:t>verificación</w:t>
            </w:r>
            <w:r w:rsidR="000B34CE" w:rsidRPr="007072DA">
              <w:rPr>
                <w:rFonts w:ascii="Arial" w:hAnsi="Arial" w:cs="Arial"/>
                <w:sz w:val="16"/>
                <w:szCs w:val="16"/>
              </w:rPr>
              <w:t xml:space="preserve"> realizada a las actividades de poda, garantizo que el recurso logre su óptimo desarrollo con el fin de que sus servicios ambientales se mantengan y su tendencia de mejoramiento sea creciente, en la vigencia se realizaron 40,284 seguimientos.</w:t>
            </w:r>
          </w:p>
        </w:tc>
        <w:tc>
          <w:tcPr>
            <w:tcW w:w="2268" w:type="dxa"/>
            <w:noWrap/>
            <w:hideMark/>
          </w:tcPr>
          <w:p w:rsidR="000B34CE" w:rsidRPr="007072DA" w:rsidRDefault="000B34CE" w:rsidP="000B34CE">
            <w:pPr>
              <w:spacing w:after="160"/>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10/2015, 19/2015, 25/2015</w:t>
            </w:r>
          </w:p>
        </w:tc>
        <w:tc>
          <w:tcPr>
            <w:tcW w:w="2739" w:type="dxa"/>
            <w:hideMark/>
          </w:tcPr>
          <w:p w:rsidR="000B34CE" w:rsidRPr="007072DA" w:rsidRDefault="000B34CE" w:rsidP="000B34CE">
            <w:pPr>
              <w:rPr>
                <w:rFonts w:ascii="Arial" w:hAnsi="Arial" w:cs="Arial"/>
                <w:sz w:val="16"/>
                <w:szCs w:val="16"/>
              </w:rPr>
            </w:pPr>
            <w:r w:rsidRPr="007072DA">
              <w:rPr>
                <w:rFonts w:ascii="Arial" w:hAnsi="Arial" w:cs="Arial"/>
                <w:sz w:val="16"/>
                <w:szCs w:val="16"/>
              </w:rPr>
              <w:t>Al verificar las actividades de poda, se garantiza que el recurso logre su óptimo desarrollo con el fin de que sus servicios ambientales se mantengan y su tendencia de mejoramiento sea creciente</w:t>
            </w: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Diseñar e implementar un proyecto de generación de conocimiento sobre silvicultura urbana </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En la vigencia 2015, se finalizó la etapa 3, Validación en campo del modelo preliminar y se realizó la etapa 4, Ajuste del modelo de riesgo.</w:t>
            </w:r>
            <w:r w:rsidRPr="007072DA">
              <w:rPr>
                <w:rFonts w:ascii="Arial" w:hAnsi="Arial" w:cs="Arial"/>
                <w:sz w:val="16"/>
                <w:szCs w:val="16"/>
              </w:rPr>
              <w:br/>
              <w:t>Al finalizar esta vigencia se cuenta ya con un Modelo de Riesgo de Volcamiento de Árboles, ajustado y validado en campo, que servirá de herramienta para la planeación y soporte de la actividad de evaluación del arbolado urbano ubicado en espacio público de uso público en la ciudad.</w:t>
            </w:r>
          </w:p>
        </w:tc>
        <w:tc>
          <w:tcPr>
            <w:tcW w:w="2268"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966/2015</w:t>
            </w:r>
          </w:p>
        </w:tc>
        <w:tc>
          <w:tcPr>
            <w:tcW w:w="2739" w:type="dxa"/>
            <w:hideMark/>
          </w:tcPr>
          <w:p w:rsidR="000B34CE" w:rsidRPr="007072DA" w:rsidRDefault="000B34CE" w:rsidP="000B34CE">
            <w:pPr>
              <w:rPr>
                <w:rFonts w:ascii="Arial" w:hAnsi="Arial" w:cs="Arial"/>
                <w:sz w:val="16"/>
                <w:szCs w:val="16"/>
              </w:rPr>
            </w:pPr>
            <w:r w:rsidRPr="007072DA">
              <w:rPr>
                <w:rFonts w:ascii="Arial" w:hAnsi="Arial" w:cs="Arial"/>
                <w:sz w:val="16"/>
                <w:szCs w:val="16"/>
              </w:rPr>
              <w:t xml:space="preserve">Identificar herramientas y métodos adicionales para la evaluación preventiva del arbolado urbano, con el fin de disminuir el riesgo generado por el mismo, para contribuir con el aumento del 40% de la oferta ambiental del arbolado urbano en el DC: Se asume la gestión al riesgo del arbolado adulto con el desarrollo de un modelo predictivo de riesgo de caída de árboles, con el fin de contar con una herramienta para la toma de decisiones en el manejo del arbolado urbano en riesgo. </w:t>
            </w:r>
          </w:p>
        </w:tc>
      </w:tr>
      <w:tr w:rsidR="000B34CE" w:rsidRPr="007072DA" w:rsidTr="00F73EEB">
        <w:trPr>
          <w:trHeight w:val="2280"/>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lastRenderedPageBreak/>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Realización de la estrategia de publicidad del programa de sensibilización </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Se continuó con la campaña a través de elementos de divulgación que en esta vigencia contó con la producción de afiches y volantes con el tema de beneficios ambientales de los árboles en la ciudad: “Ellos crecen, respiran y te protegen”, que están siendo distribuidos en las visitas técnicas que se realizan  en las diferentes localidades y a través de las demás dependencias de la entidad.</w:t>
            </w:r>
            <w:r w:rsidRPr="007072DA">
              <w:rPr>
                <w:rFonts w:ascii="Arial" w:hAnsi="Arial" w:cs="Arial"/>
                <w:sz w:val="16"/>
                <w:szCs w:val="16"/>
              </w:rPr>
              <w:br/>
            </w:r>
            <w:r w:rsidR="00190A16" w:rsidRPr="007072DA">
              <w:rPr>
                <w:rFonts w:ascii="Arial" w:hAnsi="Arial" w:cs="Arial"/>
                <w:sz w:val="16"/>
                <w:szCs w:val="16"/>
              </w:rPr>
              <w:t>Se</w:t>
            </w:r>
            <w:r w:rsidRPr="007072DA">
              <w:rPr>
                <w:rFonts w:ascii="Arial" w:hAnsi="Arial" w:cs="Arial"/>
                <w:sz w:val="16"/>
                <w:szCs w:val="16"/>
              </w:rPr>
              <w:t xml:space="preserve"> </w:t>
            </w:r>
            <w:r w:rsidR="00190A16" w:rsidRPr="007072DA">
              <w:rPr>
                <w:rFonts w:ascii="Arial" w:hAnsi="Arial" w:cs="Arial"/>
                <w:sz w:val="16"/>
                <w:szCs w:val="16"/>
              </w:rPr>
              <w:t>realizó</w:t>
            </w:r>
            <w:r w:rsidRPr="007072DA">
              <w:rPr>
                <w:rFonts w:ascii="Arial" w:hAnsi="Arial" w:cs="Arial"/>
                <w:sz w:val="16"/>
                <w:szCs w:val="16"/>
              </w:rPr>
              <w:t xml:space="preserve"> la campaña concurso “Árbol Notable de Bogotá 2015”, premiando en las diferentes </w:t>
            </w:r>
            <w:r w:rsidR="00190A16" w:rsidRPr="007072DA">
              <w:rPr>
                <w:rFonts w:ascii="Arial" w:hAnsi="Arial" w:cs="Arial"/>
                <w:sz w:val="16"/>
                <w:szCs w:val="16"/>
              </w:rPr>
              <w:t>categorías</w:t>
            </w:r>
            <w:r w:rsidRPr="007072DA">
              <w:rPr>
                <w:rFonts w:ascii="Arial" w:hAnsi="Arial" w:cs="Arial"/>
                <w:sz w:val="16"/>
                <w:szCs w:val="16"/>
              </w:rPr>
              <w:t xml:space="preserve"> en el mes de Diciembre.</w:t>
            </w:r>
          </w:p>
        </w:tc>
        <w:tc>
          <w:tcPr>
            <w:tcW w:w="2268"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1260/2015</w:t>
            </w:r>
          </w:p>
        </w:tc>
        <w:tc>
          <w:tcPr>
            <w:tcW w:w="2739" w:type="dxa"/>
            <w:vMerge w:val="restart"/>
            <w:hideMark/>
          </w:tcPr>
          <w:p w:rsidR="000B34CE" w:rsidRPr="007072DA" w:rsidRDefault="000B34CE" w:rsidP="000B34CE">
            <w:pPr>
              <w:rPr>
                <w:rFonts w:ascii="Arial" w:hAnsi="Arial" w:cs="Arial"/>
                <w:sz w:val="16"/>
                <w:szCs w:val="16"/>
              </w:rPr>
            </w:pPr>
            <w:r w:rsidRPr="007072DA">
              <w:rPr>
                <w:rFonts w:ascii="Arial" w:hAnsi="Arial" w:cs="Arial"/>
                <w:sz w:val="16"/>
                <w:szCs w:val="16"/>
              </w:rPr>
              <w:t xml:space="preserve">Se desarrollan campañas dirigidas a la comunidad, con el fin de que se proteja el arbolado evitando generar mayores riesgos, implementando así las actividades silviculturales necesarias para contribuir con el aumento del 40% de la oferta ambiental del arbolado urbano en el DC. </w:t>
            </w:r>
          </w:p>
        </w:tc>
      </w:tr>
      <w:tr w:rsidR="000B34CE" w:rsidRPr="007072DA" w:rsidTr="00F73EEB">
        <w:trPr>
          <w:trHeight w:val="1575"/>
        </w:trPr>
        <w:tc>
          <w:tcPr>
            <w:tcW w:w="1780"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819</w:t>
            </w:r>
          </w:p>
        </w:tc>
        <w:tc>
          <w:tcPr>
            <w:tcW w:w="180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410_Aumentar el servicio ambiental ofertado por el arbolado urbano en un 40% del Distrito Capital</w:t>
            </w:r>
          </w:p>
        </w:tc>
        <w:tc>
          <w:tcPr>
            <w:tcW w:w="21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Determinar los medios de difusión del programa de sensibilización </w:t>
            </w:r>
          </w:p>
        </w:tc>
        <w:tc>
          <w:tcPr>
            <w:tcW w:w="2499"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 xml:space="preserve">Se </w:t>
            </w:r>
            <w:r w:rsidR="00190A16" w:rsidRPr="007072DA">
              <w:rPr>
                <w:rFonts w:ascii="Arial" w:hAnsi="Arial" w:cs="Arial"/>
                <w:sz w:val="16"/>
                <w:szCs w:val="16"/>
              </w:rPr>
              <w:t>realizó</w:t>
            </w:r>
            <w:r w:rsidRPr="007072DA">
              <w:rPr>
                <w:rFonts w:ascii="Arial" w:hAnsi="Arial" w:cs="Arial"/>
                <w:sz w:val="16"/>
                <w:szCs w:val="16"/>
              </w:rPr>
              <w:t xml:space="preserve"> la </w:t>
            </w:r>
            <w:r w:rsidR="00190A16" w:rsidRPr="007072DA">
              <w:rPr>
                <w:rFonts w:ascii="Arial" w:hAnsi="Arial" w:cs="Arial"/>
                <w:sz w:val="16"/>
                <w:szCs w:val="16"/>
              </w:rPr>
              <w:t>difusión</w:t>
            </w:r>
            <w:r w:rsidRPr="007072DA">
              <w:rPr>
                <w:rFonts w:ascii="Arial" w:hAnsi="Arial" w:cs="Arial"/>
                <w:sz w:val="16"/>
                <w:szCs w:val="16"/>
              </w:rPr>
              <w:t xml:space="preserve"> por la </w:t>
            </w:r>
            <w:r w:rsidR="00190A16" w:rsidRPr="007072DA">
              <w:rPr>
                <w:rFonts w:ascii="Arial" w:hAnsi="Arial" w:cs="Arial"/>
                <w:sz w:val="16"/>
                <w:szCs w:val="16"/>
              </w:rPr>
              <w:t>página</w:t>
            </w:r>
            <w:r w:rsidRPr="007072DA">
              <w:rPr>
                <w:rFonts w:ascii="Arial" w:hAnsi="Arial" w:cs="Arial"/>
                <w:sz w:val="16"/>
                <w:szCs w:val="16"/>
              </w:rPr>
              <w:t xml:space="preserve"> web de la entidad.</w:t>
            </w:r>
          </w:p>
        </w:tc>
        <w:tc>
          <w:tcPr>
            <w:tcW w:w="2268" w:type="dxa"/>
            <w:noWrap/>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Ordenamiento y gestión de la ciudad - región</w:t>
            </w:r>
          </w:p>
        </w:tc>
        <w:tc>
          <w:tcPr>
            <w:tcW w:w="1634"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Control y vigilancia</w:t>
            </w:r>
          </w:p>
        </w:tc>
        <w:tc>
          <w:tcPr>
            <w:tcW w:w="2902" w:type="dxa"/>
            <w:hideMark/>
          </w:tcPr>
          <w:p w:rsidR="000B34CE" w:rsidRPr="007072DA" w:rsidRDefault="000B34CE" w:rsidP="000B34CE">
            <w:pPr>
              <w:jc w:val="both"/>
              <w:rPr>
                <w:rFonts w:ascii="Arial" w:hAnsi="Arial" w:cs="Arial"/>
                <w:sz w:val="16"/>
                <w:szCs w:val="16"/>
              </w:rPr>
            </w:pPr>
            <w:r w:rsidRPr="007072DA">
              <w:rPr>
                <w:rFonts w:ascii="Arial" w:hAnsi="Arial" w:cs="Arial"/>
                <w:sz w:val="16"/>
                <w:szCs w:val="16"/>
              </w:rPr>
              <w:t>1260/2015</w:t>
            </w:r>
          </w:p>
        </w:tc>
        <w:tc>
          <w:tcPr>
            <w:tcW w:w="2739" w:type="dxa"/>
            <w:vMerge/>
            <w:hideMark/>
          </w:tcPr>
          <w:p w:rsidR="000B34CE" w:rsidRPr="007072DA" w:rsidRDefault="000B34CE" w:rsidP="000B34CE">
            <w:pPr>
              <w:rPr>
                <w:rFonts w:ascii="Arial" w:hAnsi="Arial" w:cs="Arial"/>
                <w:sz w:val="16"/>
                <w:szCs w:val="16"/>
              </w:rPr>
            </w:pPr>
          </w:p>
        </w:tc>
      </w:tr>
    </w:tbl>
    <w:p w:rsidR="002E386D" w:rsidRDefault="002E386D" w:rsidP="007562F0">
      <w:r>
        <w:rPr>
          <w:rFonts w:ascii="Arial" w:hAnsi="Arial" w:cs="Arial"/>
          <w:b/>
        </w:rPr>
        <w:lastRenderedPageBreak/>
        <w:fldChar w:fldCharType="begin"/>
      </w:r>
      <w:r>
        <w:rPr>
          <w:rFonts w:ascii="Arial" w:hAnsi="Arial" w:cs="Arial"/>
          <w:b/>
        </w:rPr>
        <w:instrText xml:space="preserve"> LINK </w:instrText>
      </w:r>
      <w:r w:rsidR="00C04635">
        <w:rPr>
          <w:rFonts w:ascii="Arial" w:hAnsi="Arial" w:cs="Arial"/>
          <w:b/>
        </w:rPr>
        <w:instrText xml:space="preserve">Excel.Sheet.8 "C:\\Users\\jorge.lezama\\Desktop\\PACA RECIBIDO\\Informe Final Control Interno\\PACA RECIBIDO\\3. Silvicultura\\1. SIlvicultuta formato CB1111-2  16 de feb 2016 Ok.xls" CB-1111-2__INFORMACION_GESTION_!F6C2:F35C9 </w:instrText>
      </w:r>
      <w:r>
        <w:rPr>
          <w:rFonts w:ascii="Arial" w:hAnsi="Arial" w:cs="Arial"/>
          <w:b/>
        </w:rPr>
        <w:instrText xml:space="preserve">\a \f 4 \h  \* MERGEFORMAT </w:instrText>
      </w:r>
      <w:r>
        <w:rPr>
          <w:rFonts w:ascii="Arial" w:hAnsi="Arial" w:cs="Arial"/>
          <w:b/>
        </w:rPr>
        <w:fldChar w:fldCharType="separate"/>
      </w:r>
    </w:p>
    <w:p w:rsidR="003915C9" w:rsidRDefault="002E386D" w:rsidP="007562F0">
      <w:r>
        <w:rPr>
          <w:rFonts w:ascii="Arial" w:hAnsi="Arial" w:cs="Arial"/>
          <w:b/>
        </w:rPr>
        <w:fldChar w:fldCharType="end"/>
      </w:r>
      <w:r w:rsidR="003915C9">
        <w:rPr>
          <w:rFonts w:ascii="Arial" w:hAnsi="Arial" w:cs="Arial"/>
          <w:b/>
        </w:rPr>
        <w:fldChar w:fldCharType="begin"/>
      </w:r>
      <w:r w:rsidR="003915C9">
        <w:rPr>
          <w:rFonts w:ascii="Arial" w:hAnsi="Arial" w:cs="Arial"/>
          <w:b/>
        </w:rPr>
        <w:instrText xml:space="preserve"> LINK </w:instrText>
      </w:r>
      <w:r w:rsidR="00933035">
        <w:rPr>
          <w:rFonts w:ascii="Arial" w:hAnsi="Arial" w:cs="Arial"/>
          <w:b/>
        </w:rPr>
        <w:instrText xml:space="preserve">Excel.Sheet.8 "C:\\Users\\jorge.lezama\\Desktop\\PACA RECIBIDO\\4. DPSYA\\2. Copia de CB1111-2-8112015 ajustado 16 feb 2016 ok.xls" CB-1111-2__INFORMACION_GESTION_!F6C2:F11C12 </w:instrText>
      </w:r>
      <w:r w:rsidR="003915C9">
        <w:rPr>
          <w:rFonts w:ascii="Arial" w:hAnsi="Arial" w:cs="Arial"/>
          <w:b/>
        </w:rPr>
        <w:instrText xml:space="preserve">\a \f 4 \h  \* MERGEFORMAT </w:instrText>
      </w:r>
      <w:r w:rsidR="003915C9">
        <w:rPr>
          <w:rFonts w:ascii="Arial" w:hAnsi="Arial" w:cs="Arial"/>
          <w:b/>
        </w:rPr>
        <w:fldChar w:fldCharType="separate"/>
      </w:r>
    </w:p>
    <w:tbl>
      <w:tblPr>
        <w:tblW w:w="1775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6"/>
        <w:gridCol w:w="1139"/>
        <w:gridCol w:w="1848"/>
        <w:gridCol w:w="2963"/>
        <w:gridCol w:w="1152"/>
        <w:gridCol w:w="1423"/>
        <w:gridCol w:w="1139"/>
        <w:gridCol w:w="1139"/>
        <w:gridCol w:w="1139"/>
        <w:gridCol w:w="1139"/>
        <w:gridCol w:w="3818"/>
      </w:tblGrid>
      <w:tr w:rsidR="00285F5F" w:rsidRPr="00081136" w:rsidTr="00285F5F">
        <w:trPr>
          <w:trHeight w:val="549"/>
          <w:tblHeader/>
        </w:trPr>
        <w:tc>
          <w:tcPr>
            <w:tcW w:w="17755" w:type="dxa"/>
            <w:gridSpan w:val="11"/>
            <w:shd w:val="clear" w:color="auto" w:fill="FFE599" w:themeFill="accent4" w:themeFillTint="66"/>
            <w:vAlign w:val="center"/>
          </w:tcPr>
          <w:p w:rsidR="00285F5F" w:rsidRPr="00081136" w:rsidRDefault="000819FE" w:rsidP="003915C9">
            <w:pPr>
              <w:spacing w:after="0" w:line="240" w:lineRule="auto"/>
              <w:jc w:val="center"/>
              <w:rPr>
                <w:rFonts w:ascii="Arial" w:eastAsia="Arial Unicode MS" w:hAnsi="Arial" w:cs="Arial"/>
                <w:b/>
                <w:bCs/>
                <w:color w:val="000000"/>
                <w:sz w:val="14"/>
                <w:szCs w:val="16"/>
                <w:lang w:eastAsia="es-CO"/>
              </w:rPr>
            </w:pPr>
            <w:r>
              <w:rPr>
                <w:rFonts w:ascii="Arial" w:eastAsia="Arial Unicode MS" w:hAnsi="Arial" w:cs="Arial"/>
                <w:b/>
                <w:bCs/>
                <w:color w:val="000000"/>
                <w:sz w:val="24"/>
                <w:szCs w:val="16"/>
                <w:lang w:eastAsia="es-CO"/>
              </w:rPr>
              <w:lastRenderedPageBreak/>
              <w:t xml:space="preserve">811 </w:t>
            </w:r>
            <w:r w:rsidR="00285F5F" w:rsidRPr="00285F5F">
              <w:rPr>
                <w:rFonts w:ascii="Arial" w:eastAsia="Arial Unicode MS" w:hAnsi="Arial" w:cs="Arial"/>
                <w:b/>
                <w:bCs/>
                <w:color w:val="000000"/>
                <w:sz w:val="24"/>
                <w:szCs w:val="16"/>
                <w:lang w:eastAsia="es-CO"/>
              </w:rPr>
              <w:t>Planeación ambiental con visión regional para adaptación y mitigación al cambio climático en el Distrito Capital.</w:t>
            </w:r>
          </w:p>
        </w:tc>
      </w:tr>
      <w:tr w:rsidR="00285F5F" w:rsidRPr="00081136" w:rsidTr="00205F07">
        <w:trPr>
          <w:trHeight w:val="1035"/>
          <w:tblHeader/>
        </w:trPr>
        <w:tc>
          <w:tcPr>
            <w:tcW w:w="856" w:type="dxa"/>
            <w:shd w:val="clear" w:color="auto" w:fill="FFE599" w:themeFill="accent4" w:themeFillTint="66"/>
            <w:vAlign w:val="center"/>
          </w:tcPr>
          <w:p w:rsidR="00285F5F" w:rsidRPr="00081136" w:rsidRDefault="00285F5F" w:rsidP="00285F5F">
            <w:pPr>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 xml:space="preserve">PROYECTO DE INVERSIÓN </w:t>
            </w:r>
          </w:p>
        </w:tc>
        <w:tc>
          <w:tcPr>
            <w:tcW w:w="1139" w:type="dxa"/>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META PACA</w:t>
            </w:r>
          </w:p>
        </w:tc>
        <w:tc>
          <w:tcPr>
            <w:tcW w:w="1848" w:type="dxa"/>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ACTIVIDADES PROGRAMADAS</w:t>
            </w:r>
          </w:p>
        </w:tc>
        <w:tc>
          <w:tcPr>
            <w:tcW w:w="2963" w:type="dxa"/>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ACTIVIDADES EJECUTADAS</w:t>
            </w:r>
          </w:p>
        </w:tc>
        <w:tc>
          <w:tcPr>
            <w:tcW w:w="1152" w:type="dxa"/>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OBJETIVO PGA</w:t>
            </w:r>
          </w:p>
        </w:tc>
        <w:tc>
          <w:tcPr>
            <w:tcW w:w="1423" w:type="dxa"/>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ESTRATEGIA PGA</w:t>
            </w:r>
          </w:p>
        </w:tc>
        <w:tc>
          <w:tcPr>
            <w:tcW w:w="4556" w:type="dxa"/>
            <w:gridSpan w:val="4"/>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CONTRATOS MEDIANTE LOS CUALES SE EJECUTÒ LA ACTIVIDAD</w:t>
            </w:r>
          </w:p>
        </w:tc>
        <w:tc>
          <w:tcPr>
            <w:tcW w:w="3818" w:type="dxa"/>
            <w:shd w:val="clear" w:color="auto" w:fill="FFE599" w:themeFill="accent4" w:themeFillTint="66"/>
            <w:vAlign w:val="center"/>
          </w:tcPr>
          <w:p w:rsidR="00285F5F" w:rsidRPr="00081136" w:rsidRDefault="00285F5F" w:rsidP="00285F5F">
            <w:pPr>
              <w:spacing w:after="0" w:line="240" w:lineRule="auto"/>
              <w:jc w:val="center"/>
              <w:rPr>
                <w:rFonts w:ascii="Arial" w:eastAsia="Arial Unicode MS" w:hAnsi="Arial" w:cs="Arial"/>
                <w:b/>
                <w:bCs/>
                <w:color w:val="000000"/>
                <w:sz w:val="14"/>
                <w:szCs w:val="16"/>
                <w:lang w:eastAsia="es-CO"/>
              </w:rPr>
            </w:pPr>
            <w:r w:rsidRPr="00081136">
              <w:rPr>
                <w:rFonts w:ascii="Arial" w:eastAsia="Arial Unicode MS" w:hAnsi="Arial" w:cs="Arial"/>
                <w:b/>
                <w:bCs/>
                <w:color w:val="000000"/>
                <w:sz w:val="14"/>
                <w:szCs w:val="16"/>
                <w:lang w:eastAsia="es-CO"/>
              </w:rPr>
              <w:t>COHERENCIA Y CONCORDANCIA QUE GUARDA CADA ACTIVIDAD CON LOS OBJETIVOS Y ESTRATEGIAS DEL PLAN DE GESTIÓN AMBIENTAL DEL DISTRITO CAPITAL, QUE SIRVIERON DE JUSTIFICACIÓN PARA SU INCORPORACIÓN DENTRO DE PLAN DE ACCIÓN CUATRIENAL AMBIENTAL-PACA</w:t>
            </w:r>
          </w:p>
        </w:tc>
      </w:tr>
      <w:tr w:rsidR="003915C9" w:rsidRPr="003915C9" w:rsidTr="00081136">
        <w:trPr>
          <w:trHeight w:val="8100"/>
        </w:trPr>
        <w:tc>
          <w:tcPr>
            <w:tcW w:w="856" w:type="dxa"/>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811</w:t>
            </w:r>
          </w:p>
        </w:tc>
        <w:tc>
          <w:tcPr>
            <w:tcW w:w="1139" w:type="dxa"/>
            <w:shd w:val="clear" w:color="000000" w:fill="FFFFFF"/>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Poner en marcha un plan regional y un plan distrital frente al cambio climático</w:t>
            </w:r>
          </w:p>
        </w:tc>
        <w:tc>
          <w:tcPr>
            <w:tcW w:w="1848" w:type="dxa"/>
            <w:shd w:val="clear" w:color="000000" w:fill="FFFFFF"/>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Participación en la formulación y puesta en marcha  de un proyecto asociado al plan regional integral de  Cambio Climático con entidades nacionales, regionales y distritales y  participar en iniciativas regiona</w:t>
            </w:r>
            <w:r w:rsidR="00190A16">
              <w:rPr>
                <w:rFonts w:ascii="Arial" w:eastAsia="Times New Roman" w:hAnsi="Arial" w:cs="Arial"/>
                <w:sz w:val="16"/>
                <w:szCs w:val="16"/>
                <w:lang w:eastAsia="es-CO"/>
              </w:rPr>
              <w:t xml:space="preserve">les y nacionales asociadas a </w:t>
            </w:r>
            <w:r w:rsidRPr="003915C9">
              <w:rPr>
                <w:rFonts w:ascii="Arial" w:eastAsia="Times New Roman" w:hAnsi="Arial" w:cs="Arial"/>
                <w:sz w:val="16"/>
                <w:szCs w:val="16"/>
                <w:lang w:eastAsia="es-CO"/>
              </w:rPr>
              <w:t>Cambio climático de acuerdo a invitaciones o requerimientos de otras entidades</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Coordinación de la puesta en marcha del Plan Distrital de Adaptación y Mitigación a la Variabilidad y al Cambio Climático</w:t>
            </w:r>
          </w:p>
        </w:tc>
        <w:tc>
          <w:tcPr>
            <w:tcW w:w="296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PLAN REGIONAL: Se ha apoyado a la RAPE-Región Central en la formulación del proyecto "modelo de gestión interinstitucional de cambio climático" que integrará todos los socios de la Región Central y que tendrá como componentes: (1) la conformación de la infraestructura de información espacial sobre cambio climático para la Región Central y (2) el observatorio de cambio climático para la Región Central. Se realizó una reunión entre la RAPE y la Dirección de Gestión Ambiental con el propósito de retroalimentar los avances de la RAPE en la formulación del modelo de Pagos por Servicios Ambientales -  PSA para la Región Central.</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 xml:space="preserve">PLAN DISTRITAL: Se discutió, ajustó y validó el "Plan Distrital de Adaptación y Mitigación al Cambio Climático para Bogotá, 2015-2038 con visión al 2050", con expertos temáticos, representantes de entidades del Distrito, universidades, organizaciones sociales y comunidad en las localidades. Se presentó en instancias consultivas como la Mesa Técnica Interinstitucional de Cambio Climático, Consejo Consultivo de Gestión del Riesgo y Cambio Climático, Comité Sectorial Ambiental y  Consejo Distrital de Gestión del Riesgo y Cambio Climático. El Plan fue presentado en el Encuentro de las Américas frente al Cambio Climático (septiembre 2015). </w:t>
            </w:r>
            <w:r w:rsidRPr="003915C9">
              <w:rPr>
                <w:rFonts w:ascii="Arial" w:eastAsia="Times New Roman" w:hAnsi="Arial" w:cs="Arial"/>
                <w:sz w:val="16"/>
                <w:szCs w:val="16"/>
                <w:lang w:eastAsia="es-CO"/>
              </w:rPr>
              <w:br/>
              <w:t xml:space="preserve">Por solicitud del Alcalde Mayor de Bogotá se realizó la integración de este Plan, con el Plan Distrital de Gestión de Riesgos formulado por el IDIGER, generando el Plan Distrital de Gestión de Riesgo y Cambio Climático para Bogotá 2015-2050 (PDGR-CC). Este </w:t>
            </w:r>
            <w:r w:rsidRPr="003915C9">
              <w:rPr>
                <w:rFonts w:ascii="Arial" w:eastAsia="Times New Roman" w:hAnsi="Arial" w:cs="Arial"/>
                <w:sz w:val="16"/>
                <w:szCs w:val="16"/>
                <w:lang w:eastAsia="es-CO"/>
              </w:rPr>
              <w:lastRenderedPageBreak/>
              <w:t>Plan, fue aprobado por el Consejo Distrital de Gestión de Riesgo (Acuerdo 02 de 2015) y adoptado mediante Decreto No. 579 de 2015.</w:t>
            </w:r>
            <w:r w:rsidRPr="003915C9">
              <w:rPr>
                <w:rFonts w:ascii="Arial" w:eastAsia="Times New Roman" w:hAnsi="Arial" w:cs="Arial"/>
                <w:sz w:val="16"/>
                <w:szCs w:val="16"/>
                <w:lang w:eastAsia="es-CO"/>
              </w:rPr>
              <w:br/>
              <w:t>El Plan comprende los objetivos de mitigación y de adaptación al cambio climático para la ciudad y los programas y líneas de acción para su ejecución (plan de acción).</w:t>
            </w:r>
          </w:p>
        </w:tc>
        <w:tc>
          <w:tcPr>
            <w:tcW w:w="1152" w:type="dxa"/>
            <w:shd w:val="clear" w:color="auto" w:fill="auto"/>
            <w:noWrap/>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Estabilidad climática</w:t>
            </w:r>
          </w:p>
        </w:tc>
        <w:tc>
          <w:tcPr>
            <w:tcW w:w="142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Cooperación y coordinación interinstitucional</w:t>
            </w:r>
          </w:p>
        </w:tc>
        <w:tc>
          <w:tcPr>
            <w:tcW w:w="1139" w:type="dxa"/>
            <w:shd w:val="clear" w:color="auto" w:fill="auto"/>
            <w:vAlign w:val="center"/>
            <w:hideMark/>
          </w:tcPr>
          <w:p w:rsid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085 /2015</w:t>
            </w:r>
            <w:r w:rsidRPr="003915C9">
              <w:rPr>
                <w:rFonts w:ascii="Arial" w:eastAsia="Times New Roman" w:hAnsi="Arial" w:cs="Arial"/>
                <w:sz w:val="16"/>
                <w:szCs w:val="16"/>
                <w:lang w:eastAsia="es-CO"/>
              </w:rPr>
              <w:br/>
              <w:t>092/2015</w:t>
            </w:r>
            <w:r w:rsidRPr="003915C9">
              <w:rPr>
                <w:rFonts w:ascii="Arial" w:eastAsia="Times New Roman" w:hAnsi="Arial" w:cs="Arial"/>
                <w:sz w:val="16"/>
                <w:szCs w:val="16"/>
                <w:lang w:eastAsia="es-CO"/>
              </w:rPr>
              <w:br/>
              <w:t>504/2015</w:t>
            </w:r>
            <w:r w:rsidRPr="003915C9">
              <w:rPr>
                <w:rFonts w:ascii="Arial" w:eastAsia="Times New Roman" w:hAnsi="Arial" w:cs="Arial"/>
                <w:sz w:val="16"/>
                <w:szCs w:val="16"/>
                <w:lang w:eastAsia="es-CO"/>
              </w:rPr>
              <w:br/>
              <w:t>063/2015</w:t>
            </w:r>
            <w:r w:rsidRPr="003915C9">
              <w:rPr>
                <w:rFonts w:ascii="Arial" w:eastAsia="Times New Roman" w:hAnsi="Arial" w:cs="Arial"/>
                <w:sz w:val="16"/>
                <w:szCs w:val="16"/>
                <w:lang w:eastAsia="es-CO"/>
              </w:rPr>
              <w:br/>
              <w:t>070}/2015</w:t>
            </w:r>
            <w:r w:rsidRPr="003915C9">
              <w:rPr>
                <w:rFonts w:ascii="Arial" w:eastAsia="Times New Roman" w:hAnsi="Arial" w:cs="Arial"/>
                <w:sz w:val="16"/>
                <w:szCs w:val="16"/>
                <w:lang w:eastAsia="es-CO"/>
              </w:rPr>
              <w:br/>
              <w:t>397/2015</w:t>
            </w:r>
            <w:r w:rsidRPr="003915C9">
              <w:rPr>
                <w:rFonts w:ascii="Arial" w:eastAsia="Times New Roman" w:hAnsi="Arial" w:cs="Arial"/>
                <w:sz w:val="16"/>
                <w:szCs w:val="16"/>
                <w:lang w:eastAsia="es-CO"/>
              </w:rPr>
              <w:br/>
              <w:t>062/2015</w:t>
            </w:r>
            <w:r w:rsidRPr="003915C9">
              <w:rPr>
                <w:rFonts w:ascii="Arial" w:eastAsia="Times New Roman" w:hAnsi="Arial" w:cs="Arial"/>
                <w:sz w:val="16"/>
                <w:szCs w:val="16"/>
                <w:lang w:eastAsia="es-CO"/>
              </w:rPr>
              <w:br/>
              <w:t>267/2015</w:t>
            </w:r>
            <w:r w:rsidRPr="003915C9">
              <w:rPr>
                <w:rFonts w:ascii="Arial" w:eastAsia="Times New Roman" w:hAnsi="Arial" w:cs="Arial"/>
                <w:sz w:val="16"/>
                <w:szCs w:val="16"/>
                <w:lang w:eastAsia="es-CO"/>
              </w:rPr>
              <w:br/>
              <w:t>113/2015</w:t>
            </w:r>
            <w:r w:rsidRPr="003915C9">
              <w:rPr>
                <w:rFonts w:ascii="Arial" w:eastAsia="Times New Roman" w:hAnsi="Arial" w:cs="Arial"/>
                <w:sz w:val="16"/>
                <w:szCs w:val="16"/>
                <w:lang w:eastAsia="es-CO"/>
              </w:rPr>
              <w:br/>
              <w:t>204/2015</w:t>
            </w:r>
            <w:r w:rsidRPr="003915C9">
              <w:rPr>
                <w:rFonts w:ascii="Arial" w:eastAsia="Times New Roman" w:hAnsi="Arial" w:cs="Arial"/>
                <w:sz w:val="16"/>
                <w:szCs w:val="16"/>
                <w:lang w:eastAsia="es-CO"/>
              </w:rPr>
              <w:br/>
              <w:t>124/2015</w:t>
            </w:r>
            <w:r w:rsidRPr="003915C9">
              <w:rPr>
                <w:rFonts w:ascii="Arial" w:eastAsia="Times New Roman" w:hAnsi="Arial" w:cs="Arial"/>
                <w:sz w:val="16"/>
                <w:szCs w:val="16"/>
                <w:lang w:eastAsia="es-CO"/>
              </w:rPr>
              <w:br/>
              <w:t>064/2015</w:t>
            </w:r>
            <w:r w:rsidRPr="003915C9">
              <w:rPr>
                <w:rFonts w:ascii="Arial" w:eastAsia="Times New Roman" w:hAnsi="Arial" w:cs="Arial"/>
                <w:sz w:val="16"/>
                <w:szCs w:val="16"/>
                <w:lang w:eastAsia="es-CO"/>
              </w:rPr>
              <w:br/>
              <w:t>512/2015</w:t>
            </w:r>
            <w:r w:rsidRPr="003915C9">
              <w:rPr>
                <w:rFonts w:ascii="Arial" w:eastAsia="Times New Roman" w:hAnsi="Arial" w:cs="Arial"/>
                <w:sz w:val="16"/>
                <w:szCs w:val="16"/>
                <w:lang w:eastAsia="es-CO"/>
              </w:rPr>
              <w:br/>
              <w:t>301/2015</w:t>
            </w:r>
            <w:r w:rsidRPr="003915C9">
              <w:rPr>
                <w:rFonts w:ascii="Arial" w:eastAsia="Times New Roman" w:hAnsi="Arial" w:cs="Arial"/>
                <w:sz w:val="16"/>
                <w:szCs w:val="16"/>
                <w:lang w:eastAsia="es-CO"/>
              </w:rPr>
              <w:br/>
              <w:t>068/2015</w:t>
            </w:r>
          </w:p>
          <w:p w:rsidR="00081136" w:rsidRPr="003915C9" w:rsidRDefault="00081136"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 xml:space="preserve">1430/2015  </w:t>
            </w:r>
            <w:r w:rsidRPr="003915C9">
              <w:rPr>
                <w:rFonts w:ascii="Arial" w:eastAsia="Times New Roman" w:hAnsi="Arial" w:cs="Arial"/>
                <w:sz w:val="16"/>
                <w:szCs w:val="16"/>
                <w:lang w:eastAsia="es-CO"/>
              </w:rPr>
              <w:br/>
              <w:t>497/2015</w:t>
            </w:r>
          </w:p>
        </w:tc>
        <w:tc>
          <w:tcPr>
            <w:tcW w:w="1139" w:type="dxa"/>
            <w:shd w:val="clear" w:color="auto" w:fill="auto"/>
            <w:vAlign w:val="center"/>
            <w:hideMark/>
          </w:tcPr>
          <w:p w:rsid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49/2015</w:t>
            </w:r>
            <w:r w:rsidRPr="003915C9">
              <w:rPr>
                <w:rFonts w:ascii="Arial" w:eastAsia="Times New Roman" w:hAnsi="Arial" w:cs="Arial"/>
                <w:sz w:val="16"/>
                <w:szCs w:val="16"/>
                <w:lang w:eastAsia="es-CO"/>
              </w:rPr>
              <w:br/>
              <w:t>92/2015</w:t>
            </w:r>
            <w:r w:rsidRPr="003915C9">
              <w:rPr>
                <w:rFonts w:ascii="Arial" w:eastAsia="Times New Roman" w:hAnsi="Arial" w:cs="Arial"/>
                <w:sz w:val="16"/>
                <w:szCs w:val="16"/>
                <w:lang w:eastAsia="es-CO"/>
              </w:rPr>
              <w:br/>
              <w:t>219/2015</w:t>
            </w:r>
            <w:r w:rsidRPr="003915C9">
              <w:rPr>
                <w:rFonts w:ascii="Arial" w:eastAsia="Times New Roman" w:hAnsi="Arial" w:cs="Arial"/>
                <w:sz w:val="16"/>
                <w:szCs w:val="16"/>
                <w:lang w:eastAsia="es-CO"/>
              </w:rPr>
              <w:br/>
              <w:t>117/2015</w:t>
            </w:r>
            <w:r w:rsidRPr="003915C9">
              <w:rPr>
                <w:rFonts w:ascii="Arial" w:eastAsia="Times New Roman" w:hAnsi="Arial" w:cs="Arial"/>
                <w:sz w:val="16"/>
                <w:szCs w:val="16"/>
                <w:lang w:eastAsia="es-CO"/>
              </w:rPr>
              <w:br/>
              <w:t>1158/2015</w:t>
            </w:r>
            <w:r w:rsidRPr="003915C9">
              <w:rPr>
                <w:rFonts w:ascii="Arial" w:eastAsia="Times New Roman" w:hAnsi="Arial" w:cs="Arial"/>
                <w:sz w:val="16"/>
                <w:szCs w:val="16"/>
                <w:lang w:eastAsia="es-CO"/>
              </w:rPr>
              <w:br/>
              <w:t>53/2015</w:t>
            </w:r>
            <w:r w:rsidRPr="003915C9">
              <w:rPr>
                <w:rFonts w:ascii="Arial" w:eastAsia="Times New Roman" w:hAnsi="Arial" w:cs="Arial"/>
                <w:sz w:val="16"/>
                <w:szCs w:val="16"/>
                <w:lang w:eastAsia="es-CO"/>
              </w:rPr>
              <w:br/>
              <w:t>31/2015</w:t>
            </w:r>
            <w:r w:rsidRPr="003915C9">
              <w:rPr>
                <w:rFonts w:ascii="Arial" w:eastAsia="Times New Roman" w:hAnsi="Arial" w:cs="Arial"/>
                <w:sz w:val="16"/>
                <w:szCs w:val="16"/>
                <w:lang w:eastAsia="es-CO"/>
              </w:rPr>
              <w:br/>
              <w:t>79/2015</w:t>
            </w:r>
            <w:r w:rsidRPr="003915C9">
              <w:rPr>
                <w:rFonts w:ascii="Arial" w:eastAsia="Times New Roman" w:hAnsi="Arial" w:cs="Arial"/>
                <w:sz w:val="16"/>
                <w:szCs w:val="16"/>
                <w:lang w:eastAsia="es-CO"/>
              </w:rPr>
              <w:br/>
              <w:t>20/2015</w:t>
            </w:r>
            <w:r w:rsidRPr="003915C9">
              <w:rPr>
                <w:rFonts w:ascii="Arial" w:eastAsia="Times New Roman" w:hAnsi="Arial" w:cs="Arial"/>
                <w:sz w:val="16"/>
                <w:szCs w:val="16"/>
                <w:lang w:eastAsia="es-CO"/>
              </w:rPr>
              <w:br/>
              <w:t>44/2015</w:t>
            </w:r>
            <w:r w:rsidRPr="003915C9">
              <w:rPr>
                <w:rFonts w:ascii="Arial" w:eastAsia="Times New Roman" w:hAnsi="Arial" w:cs="Arial"/>
                <w:sz w:val="16"/>
                <w:szCs w:val="16"/>
                <w:lang w:eastAsia="es-CO"/>
              </w:rPr>
              <w:br/>
              <w:t>233/2015</w:t>
            </w:r>
            <w:r w:rsidRPr="003915C9">
              <w:rPr>
                <w:rFonts w:ascii="Arial" w:eastAsia="Times New Roman" w:hAnsi="Arial" w:cs="Arial"/>
                <w:sz w:val="16"/>
                <w:szCs w:val="16"/>
                <w:lang w:eastAsia="es-CO"/>
              </w:rPr>
              <w:br/>
              <w:t>39/2015</w:t>
            </w:r>
            <w:r w:rsidRPr="003915C9">
              <w:rPr>
                <w:rFonts w:ascii="Arial" w:eastAsia="Times New Roman" w:hAnsi="Arial" w:cs="Arial"/>
                <w:sz w:val="16"/>
                <w:szCs w:val="16"/>
                <w:lang w:eastAsia="es-CO"/>
              </w:rPr>
              <w:br/>
              <w:t>265/2015</w:t>
            </w:r>
            <w:r w:rsidRPr="003915C9">
              <w:rPr>
                <w:rFonts w:ascii="Arial" w:eastAsia="Times New Roman" w:hAnsi="Arial" w:cs="Arial"/>
                <w:sz w:val="16"/>
                <w:szCs w:val="16"/>
                <w:lang w:eastAsia="es-CO"/>
              </w:rPr>
              <w:br/>
              <w:t>760/2015</w:t>
            </w:r>
            <w:r w:rsidRPr="003915C9">
              <w:rPr>
                <w:rFonts w:ascii="Arial" w:eastAsia="Times New Roman" w:hAnsi="Arial" w:cs="Arial"/>
                <w:sz w:val="16"/>
                <w:szCs w:val="16"/>
                <w:lang w:eastAsia="es-CO"/>
              </w:rPr>
              <w:br/>
              <w:t>132/2015</w:t>
            </w:r>
            <w:r w:rsidRPr="003915C9">
              <w:rPr>
                <w:rFonts w:ascii="Arial" w:eastAsia="Times New Roman" w:hAnsi="Arial" w:cs="Arial"/>
                <w:sz w:val="16"/>
                <w:szCs w:val="16"/>
                <w:lang w:eastAsia="es-CO"/>
              </w:rPr>
              <w:br/>
              <w:t>34/2015</w:t>
            </w:r>
          </w:p>
          <w:p w:rsidR="00081136" w:rsidRPr="003915C9" w:rsidRDefault="00081136"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116/2015</w:t>
            </w:r>
          </w:p>
        </w:tc>
        <w:tc>
          <w:tcPr>
            <w:tcW w:w="1139" w:type="dxa"/>
            <w:shd w:val="clear" w:color="auto" w:fill="auto"/>
            <w:vAlign w:val="center"/>
            <w:hideMark/>
          </w:tcPr>
          <w:p w:rsid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br/>
              <w:t>1241/2015</w:t>
            </w:r>
            <w:r w:rsidRPr="003915C9">
              <w:rPr>
                <w:rFonts w:ascii="Arial" w:eastAsia="Times New Roman" w:hAnsi="Arial" w:cs="Arial"/>
                <w:sz w:val="16"/>
                <w:szCs w:val="16"/>
                <w:lang w:eastAsia="es-CO"/>
              </w:rPr>
              <w:br/>
              <w:t>594/2015</w:t>
            </w:r>
            <w:r w:rsidRPr="003915C9">
              <w:rPr>
                <w:rFonts w:ascii="Arial" w:eastAsia="Times New Roman" w:hAnsi="Arial" w:cs="Arial"/>
                <w:sz w:val="16"/>
                <w:szCs w:val="16"/>
                <w:lang w:eastAsia="es-CO"/>
              </w:rPr>
              <w:br/>
              <w:t>322/2015</w:t>
            </w:r>
            <w:r w:rsidRPr="003915C9">
              <w:rPr>
                <w:rFonts w:ascii="Arial" w:eastAsia="Times New Roman" w:hAnsi="Arial" w:cs="Arial"/>
                <w:sz w:val="16"/>
                <w:szCs w:val="16"/>
                <w:lang w:eastAsia="es-CO"/>
              </w:rPr>
              <w:br/>
              <w:t>086/2015</w:t>
            </w:r>
            <w:r w:rsidRPr="003915C9">
              <w:rPr>
                <w:rFonts w:ascii="Arial" w:eastAsia="Times New Roman" w:hAnsi="Arial" w:cs="Arial"/>
                <w:sz w:val="16"/>
                <w:szCs w:val="16"/>
                <w:lang w:eastAsia="es-CO"/>
              </w:rPr>
              <w:br/>
              <w:t>121/2015</w:t>
            </w:r>
            <w:r w:rsidRPr="003915C9">
              <w:rPr>
                <w:rFonts w:ascii="Arial" w:eastAsia="Times New Roman" w:hAnsi="Arial" w:cs="Arial"/>
                <w:sz w:val="16"/>
                <w:szCs w:val="16"/>
                <w:lang w:eastAsia="es-CO"/>
              </w:rPr>
              <w:br/>
              <w:t>122/2015</w:t>
            </w:r>
            <w:r w:rsidRPr="003915C9">
              <w:rPr>
                <w:rFonts w:ascii="Arial" w:eastAsia="Times New Roman" w:hAnsi="Arial" w:cs="Arial"/>
                <w:sz w:val="16"/>
                <w:szCs w:val="16"/>
                <w:lang w:eastAsia="es-CO"/>
              </w:rPr>
              <w:br/>
              <w:t>123/2015</w:t>
            </w:r>
            <w:r w:rsidRPr="003915C9">
              <w:rPr>
                <w:rFonts w:ascii="Arial" w:eastAsia="Times New Roman" w:hAnsi="Arial" w:cs="Arial"/>
                <w:sz w:val="16"/>
                <w:szCs w:val="16"/>
                <w:lang w:eastAsia="es-CO"/>
              </w:rPr>
              <w:br/>
              <w:t>125/2015</w:t>
            </w:r>
            <w:r w:rsidRPr="003915C9">
              <w:rPr>
                <w:rFonts w:ascii="Arial" w:eastAsia="Times New Roman" w:hAnsi="Arial" w:cs="Arial"/>
                <w:sz w:val="16"/>
                <w:szCs w:val="16"/>
                <w:lang w:eastAsia="es-CO"/>
              </w:rPr>
              <w:br/>
              <w:t>280/2015</w:t>
            </w:r>
            <w:r w:rsidRPr="003915C9">
              <w:rPr>
                <w:rFonts w:ascii="Arial" w:eastAsia="Times New Roman" w:hAnsi="Arial" w:cs="Arial"/>
                <w:sz w:val="16"/>
                <w:szCs w:val="16"/>
                <w:lang w:eastAsia="es-CO"/>
              </w:rPr>
              <w:br/>
              <w:t>314/2015</w:t>
            </w:r>
            <w:r w:rsidRPr="003915C9">
              <w:rPr>
                <w:rFonts w:ascii="Arial" w:eastAsia="Times New Roman" w:hAnsi="Arial" w:cs="Arial"/>
                <w:sz w:val="16"/>
                <w:szCs w:val="16"/>
                <w:lang w:eastAsia="es-CO"/>
              </w:rPr>
              <w:br/>
              <w:t>326/2015</w:t>
            </w:r>
            <w:r w:rsidRPr="003915C9">
              <w:rPr>
                <w:rFonts w:ascii="Arial" w:eastAsia="Times New Roman" w:hAnsi="Arial" w:cs="Arial"/>
                <w:sz w:val="16"/>
                <w:szCs w:val="16"/>
                <w:lang w:eastAsia="es-CO"/>
              </w:rPr>
              <w:br/>
              <w:t>337/2015</w:t>
            </w:r>
            <w:r w:rsidRPr="003915C9">
              <w:rPr>
                <w:rFonts w:ascii="Arial" w:eastAsia="Times New Roman" w:hAnsi="Arial" w:cs="Arial"/>
                <w:sz w:val="16"/>
                <w:szCs w:val="16"/>
                <w:lang w:eastAsia="es-CO"/>
              </w:rPr>
              <w:br/>
              <w:t>362/2015</w:t>
            </w:r>
            <w:r w:rsidRPr="003915C9">
              <w:rPr>
                <w:rFonts w:ascii="Arial" w:eastAsia="Times New Roman" w:hAnsi="Arial" w:cs="Arial"/>
                <w:sz w:val="16"/>
                <w:szCs w:val="16"/>
                <w:lang w:eastAsia="es-CO"/>
              </w:rPr>
              <w:br/>
              <w:t>519/2015</w:t>
            </w:r>
            <w:r w:rsidRPr="003915C9">
              <w:rPr>
                <w:rFonts w:ascii="Arial" w:eastAsia="Times New Roman" w:hAnsi="Arial" w:cs="Arial"/>
                <w:sz w:val="16"/>
                <w:szCs w:val="16"/>
                <w:lang w:eastAsia="es-CO"/>
              </w:rPr>
              <w:br/>
              <w:t>520/2015</w:t>
            </w:r>
            <w:r w:rsidRPr="003915C9">
              <w:rPr>
                <w:rFonts w:ascii="Arial" w:eastAsia="Times New Roman" w:hAnsi="Arial" w:cs="Arial"/>
                <w:sz w:val="16"/>
                <w:szCs w:val="16"/>
                <w:lang w:eastAsia="es-CO"/>
              </w:rPr>
              <w:br/>
              <w:t>552/2015</w:t>
            </w:r>
          </w:p>
          <w:p w:rsidR="00081136" w:rsidRPr="003915C9" w:rsidRDefault="00081136"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539/2015</w:t>
            </w:r>
            <w:r w:rsidRPr="003915C9">
              <w:rPr>
                <w:rFonts w:ascii="Arial" w:eastAsia="Times New Roman" w:hAnsi="Arial" w:cs="Arial"/>
                <w:sz w:val="16"/>
                <w:szCs w:val="16"/>
                <w:lang w:eastAsia="es-CO"/>
              </w:rPr>
              <w:br/>
              <w:t>627/2015</w:t>
            </w:r>
          </w:p>
        </w:tc>
        <w:tc>
          <w:tcPr>
            <w:tcW w:w="1139" w:type="dxa"/>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br/>
              <w:t>636/2015</w:t>
            </w:r>
            <w:r w:rsidRPr="003915C9">
              <w:rPr>
                <w:rFonts w:ascii="Arial" w:eastAsia="Times New Roman" w:hAnsi="Arial" w:cs="Arial"/>
                <w:sz w:val="16"/>
                <w:szCs w:val="16"/>
                <w:lang w:eastAsia="es-CO"/>
              </w:rPr>
              <w:br/>
              <w:t>709/2015</w:t>
            </w:r>
            <w:r w:rsidRPr="003915C9">
              <w:rPr>
                <w:rFonts w:ascii="Arial" w:eastAsia="Times New Roman" w:hAnsi="Arial" w:cs="Arial"/>
                <w:sz w:val="16"/>
                <w:szCs w:val="16"/>
                <w:lang w:eastAsia="es-CO"/>
              </w:rPr>
              <w:br/>
              <w:t>710/2015</w:t>
            </w:r>
            <w:r w:rsidRPr="003915C9">
              <w:rPr>
                <w:rFonts w:ascii="Arial" w:eastAsia="Times New Roman" w:hAnsi="Arial" w:cs="Arial"/>
                <w:sz w:val="16"/>
                <w:szCs w:val="16"/>
                <w:lang w:eastAsia="es-CO"/>
              </w:rPr>
              <w:br/>
              <w:t>746/2015</w:t>
            </w:r>
            <w:r w:rsidRPr="003915C9">
              <w:rPr>
                <w:rFonts w:ascii="Arial" w:eastAsia="Times New Roman" w:hAnsi="Arial" w:cs="Arial"/>
                <w:sz w:val="16"/>
                <w:szCs w:val="16"/>
                <w:lang w:eastAsia="es-CO"/>
              </w:rPr>
              <w:br/>
              <w:t>763/2015</w:t>
            </w:r>
            <w:r w:rsidRPr="003915C9">
              <w:rPr>
                <w:rFonts w:ascii="Arial" w:eastAsia="Times New Roman" w:hAnsi="Arial" w:cs="Arial"/>
                <w:sz w:val="16"/>
                <w:szCs w:val="16"/>
                <w:lang w:eastAsia="es-CO"/>
              </w:rPr>
              <w:br/>
              <w:t>753/2015</w:t>
            </w:r>
            <w:r w:rsidRPr="003915C9">
              <w:rPr>
                <w:rFonts w:ascii="Arial" w:eastAsia="Times New Roman" w:hAnsi="Arial" w:cs="Arial"/>
                <w:sz w:val="16"/>
                <w:szCs w:val="16"/>
                <w:lang w:eastAsia="es-CO"/>
              </w:rPr>
              <w:br/>
              <w:t>781/2015</w:t>
            </w:r>
            <w:r w:rsidRPr="003915C9">
              <w:rPr>
                <w:rFonts w:ascii="Arial" w:eastAsia="Times New Roman" w:hAnsi="Arial" w:cs="Arial"/>
                <w:sz w:val="16"/>
                <w:szCs w:val="16"/>
                <w:lang w:eastAsia="es-CO"/>
              </w:rPr>
              <w:br/>
              <w:t>796/2015</w:t>
            </w:r>
            <w:r w:rsidRPr="003915C9">
              <w:rPr>
                <w:rFonts w:ascii="Arial" w:eastAsia="Times New Roman" w:hAnsi="Arial" w:cs="Arial"/>
                <w:sz w:val="16"/>
                <w:szCs w:val="16"/>
                <w:lang w:eastAsia="es-CO"/>
              </w:rPr>
              <w:br/>
              <w:t>797/2015</w:t>
            </w:r>
            <w:r w:rsidRPr="003915C9">
              <w:rPr>
                <w:rFonts w:ascii="Arial" w:eastAsia="Times New Roman" w:hAnsi="Arial" w:cs="Arial"/>
                <w:sz w:val="16"/>
                <w:szCs w:val="16"/>
                <w:lang w:eastAsia="es-CO"/>
              </w:rPr>
              <w:br/>
              <w:t>798/2015</w:t>
            </w:r>
            <w:r w:rsidRPr="003915C9">
              <w:rPr>
                <w:rFonts w:ascii="Arial" w:eastAsia="Times New Roman" w:hAnsi="Arial" w:cs="Arial"/>
                <w:sz w:val="16"/>
                <w:szCs w:val="16"/>
                <w:lang w:eastAsia="es-CO"/>
              </w:rPr>
              <w:br/>
              <w:t>1214/2015</w:t>
            </w:r>
            <w:r w:rsidRPr="003915C9">
              <w:rPr>
                <w:rFonts w:ascii="Arial" w:eastAsia="Times New Roman" w:hAnsi="Arial" w:cs="Arial"/>
                <w:sz w:val="16"/>
                <w:szCs w:val="16"/>
                <w:lang w:eastAsia="es-CO"/>
              </w:rPr>
              <w:br/>
              <w:t>1215/2015</w:t>
            </w:r>
            <w:r w:rsidRPr="003915C9">
              <w:rPr>
                <w:rFonts w:ascii="Arial" w:eastAsia="Times New Roman" w:hAnsi="Arial" w:cs="Arial"/>
                <w:sz w:val="16"/>
                <w:szCs w:val="16"/>
                <w:lang w:eastAsia="es-CO"/>
              </w:rPr>
              <w:br/>
              <w:t>1237/2015</w:t>
            </w:r>
            <w:r w:rsidRPr="003915C9">
              <w:rPr>
                <w:rFonts w:ascii="Arial" w:eastAsia="Times New Roman" w:hAnsi="Arial" w:cs="Arial"/>
                <w:sz w:val="16"/>
                <w:szCs w:val="16"/>
                <w:lang w:eastAsia="es-CO"/>
              </w:rPr>
              <w:br/>
              <w:t>1260/2015</w:t>
            </w:r>
            <w:r w:rsidRPr="003915C9">
              <w:rPr>
                <w:rFonts w:ascii="Arial" w:eastAsia="Times New Roman" w:hAnsi="Arial" w:cs="Arial"/>
                <w:sz w:val="16"/>
                <w:szCs w:val="16"/>
                <w:lang w:eastAsia="es-CO"/>
              </w:rPr>
              <w:br/>
              <w:t>RESOLUCIÓN 718/2015</w:t>
            </w:r>
            <w:r w:rsidRPr="003915C9">
              <w:rPr>
                <w:rFonts w:ascii="Arial" w:eastAsia="Times New Roman" w:hAnsi="Arial" w:cs="Arial"/>
                <w:sz w:val="16"/>
                <w:szCs w:val="16"/>
                <w:lang w:eastAsia="es-CO"/>
              </w:rPr>
              <w:br/>
              <w:t>1356/2015</w:t>
            </w:r>
            <w:r w:rsidRPr="003915C9">
              <w:rPr>
                <w:rFonts w:ascii="Arial" w:eastAsia="Times New Roman" w:hAnsi="Arial" w:cs="Arial"/>
                <w:sz w:val="16"/>
                <w:szCs w:val="16"/>
                <w:lang w:eastAsia="es-CO"/>
              </w:rPr>
              <w:br/>
              <w:t>RESOLUCIÓN 1577/ 2015</w:t>
            </w:r>
          </w:p>
        </w:tc>
        <w:tc>
          <w:tcPr>
            <w:tcW w:w="381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El Plan Regional Integral de Cambio Climático, definió colectivamente líneas estratégicas de acción y respectivos portafolios de proyectos de mitigación y adaptación a la variabilidad y cambio climático, con el propósito de impulsar opciones de desarrollo social y económico frente a un clima cambiante. Este instrumento guarda total coherencia y cumplimiento con el objetivo de estabilidad climática del PGA, en la medida que se establecieron escenarios climáticos que permiten gestionar y ejecutar proyectos bajo metas de mitigación y adaptación al Cambio Climático, respondiendo a responsabilidades e iniciativas a nivel nacional y global, como modelo piloto mundial para fortalecer la capacidad de los gobiernos regionales de constituir territorios resilientes que enfrenten los retos del cambio climático.</w:t>
            </w:r>
            <w:r w:rsidRPr="003915C9">
              <w:rPr>
                <w:rFonts w:ascii="Arial" w:eastAsia="Times New Roman" w:hAnsi="Arial" w:cs="Arial"/>
                <w:sz w:val="16"/>
                <w:szCs w:val="16"/>
                <w:lang w:eastAsia="es-CO"/>
              </w:rPr>
              <w:br/>
              <w:t xml:space="preserve">Este Plan al ser formulado de manera conjunta entre instituciones encargadas de la gestión territorial, administrativa y política de Bogotá – Cundinamarca, además de las principales institucionales nacionales comprometidas en la lucha contra el cambio climático, con el acompañamiento permanente de las Naciones Unidas, opero completamente bajo la estrategia de Cooperación y coordinación interinstitucional del PGA, por cuanto potenció la gestión ambiental mediante la operación coordinada, la unión de esfuerzos técnicos, humanos y financieros, de acuerdo con sus competencias y sus áreas de influencia. </w:t>
            </w:r>
            <w:r w:rsidRPr="003915C9">
              <w:rPr>
                <w:rFonts w:ascii="Arial" w:eastAsia="Times New Roman" w:hAnsi="Arial" w:cs="Arial"/>
                <w:sz w:val="16"/>
                <w:szCs w:val="16"/>
                <w:lang w:eastAsia="es-CO"/>
              </w:rPr>
              <w:br/>
              <w:t xml:space="preserve">El Plan Distrital de Gestión del Riesgo y Cambio Climático, es un instrumento con visión al año 2038, fecha que además se articula con el horizonte del PGA, de planificación y gestión del Sistema Distrital de Gestión de Riesgos y Cambio Climático, que orienta actividades y genera sinergia con los demás procesos del ordenamiento ambiental, territorial y de desarrollo en el Distrito Capital, de esta manera es concordante con el objetivo de estabilidad climática del PGA, en la medida que define estrategias y programas de gestión de riesgos, de mitigación y de adaptación al cambio climático que se implementarán en el Distrito, que apoyadas en un </w:t>
            </w:r>
            <w:r w:rsidRPr="003915C9">
              <w:rPr>
                <w:rFonts w:ascii="Arial" w:eastAsia="Times New Roman" w:hAnsi="Arial" w:cs="Arial"/>
                <w:sz w:val="16"/>
                <w:szCs w:val="16"/>
                <w:lang w:eastAsia="es-CO"/>
              </w:rPr>
              <w:lastRenderedPageBreak/>
              <w:t>cambio cultural transformador permita lograr un desarrollo sostenible, con bienestar y calidad de vida para sus habitantes.</w:t>
            </w:r>
            <w:r w:rsidRPr="003915C9">
              <w:rPr>
                <w:rFonts w:ascii="Arial" w:eastAsia="Times New Roman" w:hAnsi="Arial" w:cs="Arial"/>
                <w:sz w:val="16"/>
                <w:szCs w:val="16"/>
                <w:lang w:eastAsia="es-CO"/>
              </w:rPr>
              <w:br/>
              <w:t xml:space="preserve">Así mismo, es coherente con la estrategia de cooperación y coordinación interinstitucional del PGA, por cuanto este Plan orienta la formulación de los componentes y los programas de gestión de riesgos y de cambio climático para cada plan de desarrollo y define una priorización de las inversiones del FONDIGER y de las instituciones que conforman el Sistema Distrital de Gestión de Riesgos y Cambio Climático, visibilizando la unión de esfuerzos y de recursos. </w:t>
            </w:r>
            <w:r w:rsidRPr="003915C9">
              <w:rPr>
                <w:rFonts w:ascii="Arial" w:eastAsia="Times New Roman" w:hAnsi="Arial" w:cs="Arial"/>
                <w:sz w:val="16"/>
                <w:szCs w:val="16"/>
                <w:lang w:eastAsia="es-CO"/>
              </w:rPr>
              <w:br/>
              <w:t>Adicionalmente, el Plan Distrital tuvo participación en las diferentes instancias de coordinación ambiental del Distrito Capital, obteniendo aportes y aprobación en instancias consultivas como la Mesa Técnica Interinstitucional de Cambio Climático, Consejo Consultivo de Gestión del Riesgo y Cambio Climático, Comité Sectorial Ambiental y  Consejo Distrital de Gestión del Riesgo y Cambio Climático.</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El programa de gestión ambiental empresarial (32 contratos) es una herramienta que promueve el desarrollo procesos de autogestión y autorregulación en las empresas a través de cambios tecnológicos o buenas prácticas operacionales  propendiendo por  el manejo eficiente de los recursos naturales y como estrategia de mitigación y adaptación al cambio climático.</w:t>
            </w:r>
          </w:p>
        </w:tc>
      </w:tr>
      <w:tr w:rsidR="003915C9" w:rsidRPr="003915C9" w:rsidTr="00081136">
        <w:trPr>
          <w:trHeight w:val="6300"/>
        </w:trPr>
        <w:tc>
          <w:tcPr>
            <w:tcW w:w="856" w:type="dxa"/>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811</w:t>
            </w:r>
          </w:p>
        </w:tc>
        <w:tc>
          <w:tcPr>
            <w:tcW w:w="1139"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Diseñar e implementar una política pública para fomentar procesos de ecourbanismo y construcción sostenible en Bogotá que incluya estándares de construcción sostenible, un sistema de certificación de construcciones sostenibles y la actualización del Código de Construcción de Bogotá con perspectiva de sostenibilidad</w:t>
            </w:r>
          </w:p>
        </w:tc>
        <w:tc>
          <w:tcPr>
            <w:tcW w:w="184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Participar en la formulación, presentación y socialización de la Política Pública de Ecourbanismo y Construcción Sostenible y su plan de acción, en trabajo conjunto con SDP  y SDHT.</w:t>
            </w:r>
          </w:p>
        </w:tc>
        <w:tc>
          <w:tcPr>
            <w:tcW w:w="296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Se concertó entre SDA, SDP y SDHT la estrategia para la conformación de la mesa de Ecourbanismo y Construcción Sostenible - MECS de la Comisión intersectorial para la sostenibilidad, la protección ambiental, el ecourbanismo y la ruralidad del D.C. - CISPAER y el contenido del reglamento de la mesa, que fue aprobado en la CISPAER celebrada el 25 de marzo de 2015.</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 xml:space="preserve">Se validaron las metas de impacto y de resultado, indicadores de resultado y líneas base a nivel distrital del Plan de Acción de la Política Pública de Ecourbanismo y Constricción Sostenible – PPECS con el CCCS (02/07/2015); Se remitieron mediante oficio 2015EE145977, las observaciones realizadas por la SDA sobre las metas de impacto y de resultado del Plan de Acción de la PPECS; Los días 22 y 29/07/2015 y El día 04/08/2015 se realizaron mesas de trabajo entre la SDP, SDHT y SDA para la revisión de las metas de impacto y de resultado del Plan de Acción de la PPECS; Se articularon las metas del Plan de Acción de la Política Pública de Ecourbanismo y Construcción Sostenible y el Plan Distrital de Cambio Climático (05/08/2015); El día 12/08/2015 la SEGAE asistió a la comisión permanente del Código de la Construcción Sostenible en la cual se socializó a CAMACOL los avances del Plan de Acción de la PPECS; Se desarrolló la Segunda Mesa de Ecourbanismo y Construcción Sostenible, donde se realizó la revisión de las metas del Plan de Acción de la PPECS (14/09/2015); Se realizó evento de socialización del Plan de Acción de </w:t>
            </w:r>
            <w:r w:rsidRPr="003915C9">
              <w:rPr>
                <w:rFonts w:ascii="Arial" w:eastAsia="Times New Roman" w:hAnsi="Arial" w:cs="Arial"/>
                <w:sz w:val="16"/>
                <w:szCs w:val="16"/>
                <w:lang w:eastAsia="es-CO"/>
              </w:rPr>
              <w:lastRenderedPageBreak/>
              <w:t>la PPECS y los avances en construcción sostenible, en el marco de encuentro del clima (22/09/2015).</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Se participó de la 3a sesión de la Mesa de Ecourbanismo y Construcción Sostenible en el marco de la CISPAER (15/12/2015), se realizó mesa de trabajo de priorización de los proyectos del Plan de Acción de la PPECS (Acta 344 SEGAE) y la SDP emitió la Resolución 1319 del 11 de noviembre de 2015 “Por la cual se adopta el Plan de Acción de la Política Pública de Ecourbanismo y Construcción Sostenible de Bogotá, Distrito Capital 2014 - 2024”.</w:t>
            </w:r>
          </w:p>
        </w:tc>
        <w:tc>
          <w:tcPr>
            <w:tcW w:w="1152"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Uso eficiente del espacio</w:t>
            </w:r>
          </w:p>
        </w:tc>
        <w:tc>
          <w:tcPr>
            <w:tcW w:w="142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 xml:space="preserve">Manejo físico y </w:t>
            </w:r>
            <w:r w:rsidR="00BA190B" w:rsidRPr="003915C9">
              <w:rPr>
                <w:rFonts w:ascii="Arial" w:eastAsia="Times New Roman" w:hAnsi="Arial" w:cs="Arial"/>
                <w:sz w:val="16"/>
                <w:szCs w:val="16"/>
                <w:lang w:eastAsia="es-CO"/>
              </w:rPr>
              <w:t>Ecourbanismo</w:t>
            </w:r>
            <w:r w:rsidRPr="003915C9">
              <w:rPr>
                <w:rFonts w:ascii="Arial" w:eastAsia="Times New Roman" w:hAnsi="Arial" w:cs="Arial"/>
                <w:sz w:val="16"/>
                <w:szCs w:val="16"/>
                <w:lang w:eastAsia="es-CO"/>
              </w:rPr>
              <w:t>.</w:t>
            </w:r>
          </w:p>
        </w:tc>
        <w:tc>
          <w:tcPr>
            <w:tcW w:w="4556" w:type="dxa"/>
            <w:gridSpan w:val="4"/>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 xml:space="preserve">No se destinaron recursos en la vigencia 2015 para el cumplimiento de esta meta; las actividades reportadas fueron desarrolladas por un funcionario de la SEGAE. </w:t>
            </w:r>
          </w:p>
        </w:tc>
        <w:tc>
          <w:tcPr>
            <w:tcW w:w="381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Con la formulación y adopción de la política pública de ecourbanismo y construcción sostenible (Decreto 566 de 2014), y su plan de acción  le aporta  como herramienta fundamental para reorientar las actuaciones de urbanismo y construcción de Bogotá hacia un enfoque de desarrollo sostenible</w:t>
            </w:r>
          </w:p>
        </w:tc>
      </w:tr>
      <w:tr w:rsidR="003915C9" w:rsidRPr="003915C9" w:rsidTr="00081136">
        <w:trPr>
          <w:trHeight w:val="3480"/>
        </w:trPr>
        <w:tc>
          <w:tcPr>
            <w:tcW w:w="856" w:type="dxa"/>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811</w:t>
            </w:r>
          </w:p>
        </w:tc>
        <w:tc>
          <w:tcPr>
            <w:tcW w:w="1139"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Adoptar criterios de Eco urbanismo y construcción sostenibles e iniciar una experiencia piloto</w:t>
            </w:r>
          </w:p>
        </w:tc>
        <w:tc>
          <w:tcPr>
            <w:tcW w:w="184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Implementación del  programa de BOGOTÁ CONSTRUCCIÓN SOSTENIBLE</w:t>
            </w:r>
          </w:p>
        </w:tc>
        <w:tc>
          <w:tcPr>
            <w:tcW w:w="296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Se realizó el primer ciclo de capacitaciones año 2015 del Programa Bogotá Construcción Sostenible – BCS (tema Energía 19/02/2015, Agua 19/03/2015, Diseño 23/04/2015, Materiales 27/05/2015 y Paisaje 25/06/2015), el día 21/09/2015 se realizó la I jornada de capacitación sector académico del programa en los temas de agua, energía, directorio de la construcción sostenible, diseño, materiales y paisaje, realizada en la Universidad Piloto de Colombia; así mismo, se socializado el Programa en diferentes eventos.</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Se realizó el reconocimiento ambiental al Hotel BIOHOTEL 25/06/2015, como edificación ecoeficiente en el marco del programa PRECO Resolución 5926 del 2011 y al edificio MID TOWN CORPORATE CENTER BOGOTÁ D.C (resolución 1170 del día 31/07/2015).</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Se realizó el pre-reconocimiento del programa Bogotá Construcción Sostenible a los proyectos Cable Aéreo de Ciudad Bolívar, ZF Towers y Aulas Ambientales Soratama y Entrenubes.</w:t>
            </w:r>
          </w:p>
        </w:tc>
        <w:tc>
          <w:tcPr>
            <w:tcW w:w="1152"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Uso eficiente del espacio</w:t>
            </w:r>
          </w:p>
        </w:tc>
        <w:tc>
          <w:tcPr>
            <w:tcW w:w="142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Manejo físico y ecourbanismo.</w:t>
            </w:r>
          </w:p>
        </w:tc>
        <w:tc>
          <w:tcPr>
            <w:tcW w:w="4556" w:type="dxa"/>
            <w:gridSpan w:val="4"/>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643/2015</w:t>
            </w:r>
            <w:r w:rsidRPr="003915C9">
              <w:rPr>
                <w:rFonts w:ascii="Arial" w:eastAsia="Times New Roman" w:hAnsi="Arial" w:cs="Arial"/>
                <w:sz w:val="16"/>
                <w:szCs w:val="16"/>
                <w:lang w:eastAsia="es-CO"/>
              </w:rPr>
              <w:br/>
              <w:t>680/2015</w:t>
            </w:r>
            <w:r w:rsidRPr="003915C9">
              <w:rPr>
                <w:rFonts w:ascii="Arial" w:eastAsia="Times New Roman" w:hAnsi="Arial" w:cs="Arial"/>
                <w:sz w:val="16"/>
                <w:szCs w:val="16"/>
                <w:lang w:eastAsia="es-CO"/>
              </w:rPr>
              <w:br/>
              <w:t>712/2015</w:t>
            </w:r>
          </w:p>
        </w:tc>
        <w:tc>
          <w:tcPr>
            <w:tcW w:w="381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Con la implementación del programa Bogotá Construcción sostenible, se logró implementar estrategias de ecourbanismo y/o construcción sostenible tanto a nivel urbano como arquitectónico, incorporando criterios ambientales de sostenibilidad urbana que propenden por mejorar las condiciones de habitabilidad de la población.</w:t>
            </w:r>
          </w:p>
        </w:tc>
      </w:tr>
      <w:tr w:rsidR="003915C9" w:rsidRPr="003915C9" w:rsidTr="00081136">
        <w:trPr>
          <w:trHeight w:val="3709"/>
        </w:trPr>
        <w:tc>
          <w:tcPr>
            <w:tcW w:w="856" w:type="dxa"/>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811</w:t>
            </w:r>
          </w:p>
        </w:tc>
        <w:tc>
          <w:tcPr>
            <w:tcW w:w="1139"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Adoptar criterios de Eco urbanismo y construcción sostenibles e iniciar una experiencia piloto</w:t>
            </w:r>
          </w:p>
        </w:tc>
        <w:tc>
          <w:tcPr>
            <w:tcW w:w="184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Atender el 100% de las solicitudes de determinantes de ecourbanismo en los instrumentos de planeamiento.</w:t>
            </w:r>
          </w:p>
        </w:tc>
        <w:tc>
          <w:tcPr>
            <w:tcW w:w="296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b/>
                <w:bCs/>
                <w:sz w:val="16"/>
                <w:szCs w:val="16"/>
                <w:lang w:eastAsia="es-CO"/>
              </w:rPr>
              <w:t>Plan Parcial de desarrollo</w:t>
            </w:r>
            <w:r w:rsidRPr="003915C9">
              <w:rPr>
                <w:rFonts w:ascii="Arial" w:eastAsia="Times New Roman" w:hAnsi="Arial" w:cs="Arial"/>
                <w:sz w:val="16"/>
                <w:szCs w:val="16"/>
                <w:lang w:eastAsia="es-CO"/>
              </w:rPr>
              <w:t>: Hacienda San Antonio, Concepto de modificación del Plan Parcial La Felicidad y lineamientos a las Zonas verdes Plan parcial de desarrollo Triangulo de Fenicia.</w:t>
            </w:r>
            <w:r w:rsidRPr="003915C9">
              <w:rPr>
                <w:rFonts w:ascii="Arial" w:eastAsia="Times New Roman" w:hAnsi="Arial" w:cs="Arial"/>
                <w:sz w:val="16"/>
                <w:szCs w:val="16"/>
                <w:lang w:eastAsia="es-CO"/>
              </w:rPr>
              <w:br/>
            </w:r>
            <w:r w:rsidRPr="003915C9">
              <w:rPr>
                <w:rFonts w:ascii="Arial" w:eastAsia="Times New Roman" w:hAnsi="Arial" w:cs="Arial"/>
                <w:b/>
                <w:bCs/>
                <w:sz w:val="16"/>
                <w:szCs w:val="16"/>
                <w:lang w:eastAsia="es-CO"/>
              </w:rPr>
              <w:t>Plan Parcial de Renovación Urbana</w:t>
            </w:r>
            <w:r w:rsidRPr="003915C9">
              <w:rPr>
                <w:rFonts w:ascii="Arial" w:eastAsia="Times New Roman" w:hAnsi="Arial" w:cs="Arial"/>
                <w:sz w:val="16"/>
                <w:szCs w:val="16"/>
                <w:lang w:eastAsia="es-CO"/>
              </w:rPr>
              <w:t xml:space="preserve">: “Bavaria Av Boyacá”, San Bernardo I Etapa, Barrio Los Olivos, ocupación espacio Público Plan Parcial de Renovación Urbana San Victorino – </w:t>
            </w:r>
            <w:r w:rsidR="00BA190B" w:rsidRPr="003915C9">
              <w:rPr>
                <w:rFonts w:ascii="Arial" w:eastAsia="Times New Roman" w:hAnsi="Arial" w:cs="Arial"/>
                <w:sz w:val="16"/>
                <w:szCs w:val="16"/>
                <w:lang w:eastAsia="es-CO"/>
              </w:rPr>
              <w:t>Monorriel</w:t>
            </w:r>
            <w:r w:rsidRPr="003915C9">
              <w:rPr>
                <w:rFonts w:ascii="Arial" w:eastAsia="Times New Roman" w:hAnsi="Arial" w:cs="Arial"/>
                <w:sz w:val="16"/>
                <w:szCs w:val="16"/>
                <w:lang w:eastAsia="es-CO"/>
              </w:rPr>
              <w:t xml:space="preserve"> y viabilidad concepto triangulo de Bavaria.</w:t>
            </w:r>
            <w:r w:rsidRPr="003915C9">
              <w:rPr>
                <w:rFonts w:ascii="Arial" w:eastAsia="Times New Roman" w:hAnsi="Arial" w:cs="Arial"/>
                <w:sz w:val="16"/>
                <w:szCs w:val="16"/>
                <w:lang w:eastAsia="es-CO"/>
              </w:rPr>
              <w:br/>
            </w:r>
            <w:r w:rsidRPr="003915C9">
              <w:rPr>
                <w:rFonts w:ascii="Arial" w:eastAsia="Times New Roman" w:hAnsi="Arial" w:cs="Arial"/>
                <w:b/>
                <w:bCs/>
                <w:sz w:val="16"/>
                <w:szCs w:val="16"/>
                <w:lang w:eastAsia="es-CO"/>
              </w:rPr>
              <w:t>Planes Directores</w:t>
            </w:r>
            <w:r w:rsidRPr="003915C9">
              <w:rPr>
                <w:rFonts w:ascii="Arial" w:eastAsia="Times New Roman" w:hAnsi="Arial" w:cs="Arial"/>
                <w:sz w:val="16"/>
                <w:szCs w:val="16"/>
                <w:lang w:eastAsia="es-CO"/>
              </w:rPr>
              <w:t>: Parque Zonal Villa Javier, Carmel Club Campestre, Parque Zonal Veraguas, Parque PTAR Cortijo, Parque Urbanización la Felicidad, Urbanización la El Ensueño, Círculo de suboficiales Fuerzas Militares.</w:t>
            </w:r>
            <w:r w:rsidRPr="003915C9">
              <w:rPr>
                <w:rFonts w:ascii="Arial" w:eastAsia="Times New Roman" w:hAnsi="Arial" w:cs="Arial"/>
                <w:sz w:val="16"/>
                <w:szCs w:val="16"/>
                <w:lang w:eastAsia="es-CO"/>
              </w:rPr>
              <w:br/>
            </w:r>
            <w:r w:rsidRPr="003915C9">
              <w:rPr>
                <w:rFonts w:ascii="Arial" w:eastAsia="Times New Roman" w:hAnsi="Arial" w:cs="Arial"/>
                <w:b/>
                <w:bCs/>
                <w:sz w:val="16"/>
                <w:szCs w:val="16"/>
                <w:lang w:eastAsia="es-CO"/>
              </w:rPr>
              <w:t>Planes de Implantación</w:t>
            </w:r>
            <w:r w:rsidRPr="003915C9">
              <w:rPr>
                <w:rFonts w:ascii="Arial" w:eastAsia="Times New Roman" w:hAnsi="Arial" w:cs="Arial"/>
                <w:sz w:val="16"/>
                <w:szCs w:val="16"/>
                <w:lang w:eastAsia="es-CO"/>
              </w:rPr>
              <w:t>: Hospital Aranjuez, Cetro Comercial Gran Plaza El Ensueño, Hilanderías, Centro Comercial Iberia.</w:t>
            </w:r>
          </w:p>
        </w:tc>
        <w:tc>
          <w:tcPr>
            <w:tcW w:w="1152"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Uso eficiente del espacio</w:t>
            </w:r>
          </w:p>
        </w:tc>
        <w:tc>
          <w:tcPr>
            <w:tcW w:w="1423"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Manejo físico y ecourbanismo.</w:t>
            </w:r>
          </w:p>
        </w:tc>
        <w:tc>
          <w:tcPr>
            <w:tcW w:w="4556" w:type="dxa"/>
            <w:gridSpan w:val="4"/>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462/2015</w:t>
            </w:r>
            <w:r w:rsidRPr="003915C9">
              <w:rPr>
                <w:rFonts w:ascii="Arial" w:eastAsia="Times New Roman" w:hAnsi="Arial" w:cs="Arial"/>
                <w:sz w:val="16"/>
                <w:szCs w:val="16"/>
                <w:lang w:eastAsia="es-CO"/>
              </w:rPr>
              <w:br/>
              <w:t>463/2015</w:t>
            </w:r>
            <w:r w:rsidRPr="003915C9">
              <w:rPr>
                <w:rFonts w:ascii="Arial" w:eastAsia="Times New Roman" w:hAnsi="Arial" w:cs="Arial"/>
                <w:sz w:val="16"/>
                <w:szCs w:val="16"/>
                <w:lang w:eastAsia="es-CO"/>
              </w:rPr>
              <w:br/>
              <w:t>603/2015</w:t>
            </w:r>
            <w:r w:rsidRPr="003915C9">
              <w:rPr>
                <w:rFonts w:ascii="Arial" w:eastAsia="Times New Roman" w:hAnsi="Arial" w:cs="Arial"/>
                <w:sz w:val="16"/>
                <w:szCs w:val="16"/>
                <w:lang w:eastAsia="es-CO"/>
              </w:rPr>
              <w:br/>
              <w:t>621/2015</w:t>
            </w:r>
            <w:r w:rsidRPr="003915C9">
              <w:rPr>
                <w:rFonts w:ascii="Arial" w:eastAsia="Times New Roman" w:hAnsi="Arial" w:cs="Arial"/>
                <w:sz w:val="16"/>
                <w:szCs w:val="16"/>
                <w:lang w:eastAsia="es-CO"/>
              </w:rPr>
              <w:br/>
              <w:t>622/2015</w:t>
            </w:r>
            <w:r w:rsidRPr="003915C9">
              <w:rPr>
                <w:rFonts w:ascii="Arial" w:eastAsia="Times New Roman" w:hAnsi="Arial" w:cs="Arial"/>
                <w:sz w:val="16"/>
                <w:szCs w:val="16"/>
                <w:lang w:eastAsia="es-CO"/>
              </w:rPr>
              <w:br/>
              <w:t>RESOLUCIÓN 1577/ 2015</w:t>
            </w:r>
            <w:r w:rsidRPr="003915C9">
              <w:rPr>
                <w:rFonts w:ascii="Arial" w:eastAsia="Times New Roman" w:hAnsi="Arial" w:cs="Arial"/>
                <w:sz w:val="16"/>
                <w:szCs w:val="16"/>
                <w:lang w:eastAsia="es-CO"/>
              </w:rPr>
              <w:br/>
              <w:t>1162/2015</w:t>
            </w:r>
          </w:p>
        </w:tc>
        <w:tc>
          <w:tcPr>
            <w:tcW w:w="381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La emisión de determinantes ambientales en los diferentes instrumentos de planeamiento han contribuido al crecimiento y desarrollo de la ciudad de manera armónica con su entorno, incidiendo directamente en un desarrollo urbano amigable con el ambiente, en la medida de las necesidades de planificación de la ciudad, con lo cual se viene incorporando criterios o lineamientos ambientales que definen el manejo de los diferentes escenarios de intervención, al disponer de espacios planificados, disfrute de los elementos de la estructura ecológica principal y en armonía y conexión con las zonas generadas en los instrumentos.</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Adicionalmente, la adopción de criterios de ecourbanismo y construcción sostenible en las solicitudes de emisión de determinantes ambientales para los instrumentos de planeamiento y uso del suelo, generan derroteros concretos que dan lugar a la aplicación real de estrategias como el uso racional del agua, la energía, manejo del agua de escorrentía y calidad ambiental interior tanto en el territorio como en la edificación, aspectos que contribuyen al mejoramiento de las condiciones de vida de la población.</w:t>
            </w:r>
          </w:p>
        </w:tc>
      </w:tr>
      <w:tr w:rsidR="003915C9" w:rsidRPr="003915C9" w:rsidTr="00081136">
        <w:trPr>
          <w:trHeight w:val="4950"/>
        </w:trPr>
        <w:tc>
          <w:tcPr>
            <w:tcW w:w="856" w:type="dxa"/>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811</w:t>
            </w:r>
          </w:p>
        </w:tc>
        <w:tc>
          <w:tcPr>
            <w:tcW w:w="1139" w:type="dxa"/>
            <w:shd w:val="clear" w:color="000000" w:fill="FFFFFF"/>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Concertar y consolidar 1 acuerdo regional económico y social en torno a los bienes y servicios ambientales y la gobernanza del agua, en Cerros Orientales y páramos de Sumapaz, Guerrero, Chingaza y Guacheneque</w:t>
            </w:r>
          </w:p>
        </w:tc>
        <w:tc>
          <w:tcPr>
            <w:tcW w:w="1848" w:type="dxa"/>
            <w:shd w:val="clear" w:color="000000" w:fill="FFFFFF"/>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 xml:space="preserve">Poner en marcha conjuntamente con actores de la región, proyectos ambientales de carácter regional, representados tanto en acciones concretas en el territorio como en la formulación de instrumentos que faciliten la toma de decisiones ambientales.  </w:t>
            </w:r>
          </w:p>
        </w:tc>
        <w:tc>
          <w:tcPr>
            <w:tcW w:w="2963" w:type="dxa"/>
            <w:shd w:val="clear" w:color="auto" w:fill="auto"/>
            <w:vAlign w:val="center"/>
            <w:hideMark/>
          </w:tcPr>
          <w:p w:rsidR="003915C9" w:rsidRPr="003915C9" w:rsidRDefault="003915C9" w:rsidP="00BA190B">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Junto con el grupo de ruralidad de la Subdirección de Ecosistemas y Ruralidad de la SDA, se realizó la articulación con la EAB ESP y sus acciones en el territorio rural de Sumapaz dentro del marco del Poyecto de conservación, retauración y usos sotenible de los Páramos, con el fin de complementar las acciones que realiza la SDA entorno al Ordenamiento Ambiental Predial y el proceso de Reconversión de los Sistemas Productivos para el beneficio de la familia campesina, la protección del recurso hídrico, la biodiversidad y el suelo. Para ello, se ha acompañado al contratista de la EAB ESP en el proceso de identificación de predios vinculados por la SDA en la cuenca del Rio Blanco en la localidad de Sumapaz, (Veredas Las Ánimas, Las Auras, Nazareth, Las Palmas, Los Ríos, Raizal y Laguna Verde). Por otra parte se realizó el reporte de seguimiento de la contrapartida de la SDA al proyecto de conservación, retauración y usos sotenible de los Páramos, cuyo objeto contractual es “Establecer acciones para el afianzamiento del modelo de gestión ambiental orientado a la reconversión productiva y recuperación ambiental de áreas prioritarias rurales y áreas abastecedoras de acueduc</w:t>
            </w:r>
            <w:r w:rsidR="00BA190B">
              <w:rPr>
                <w:rFonts w:ascii="Arial" w:eastAsia="Times New Roman" w:hAnsi="Arial" w:cs="Arial"/>
                <w:sz w:val="16"/>
                <w:szCs w:val="16"/>
                <w:lang w:eastAsia="es-CO"/>
              </w:rPr>
              <w:t>tos veredales de la cuenca del T</w:t>
            </w:r>
            <w:r w:rsidRPr="003915C9">
              <w:rPr>
                <w:rFonts w:ascii="Arial" w:eastAsia="Times New Roman" w:hAnsi="Arial" w:cs="Arial"/>
                <w:sz w:val="16"/>
                <w:szCs w:val="16"/>
                <w:lang w:eastAsia="es-CO"/>
              </w:rPr>
              <w:t xml:space="preserve">unjuelo". </w:t>
            </w:r>
            <w:r w:rsidR="00BA190B" w:rsidRPr="003915C9">
              <w:rPr>
                <w:rFonts w:ascii="Arial" w:eastAsia="Times New Roman" w:hAnsi="Arial" w:cs="Arial"/>
                <w:sz w:val="16"/>
                <w:szCs w:val="16"/>
                <w:lang w:eastAsia="es-CO"/>
              </w:rPr>
              <w:lastRenderedPageBreak/>
              <w:t>Asimismo</w:t>
            </w:r>
            <w:r w:rsidR="00BA190B">
              <w:rPr>
                <w:rFonts w:ascii="Arial" w:eastAsia="Times New Roman" w:hAnsi="Arial" w:cs="Arial"/>
                <w:sz w:val="16"/>
                <w:szCs w:val="16"/>
                <w:lang w:eastAsia="es-CO"/>
              </w:rPr>
              <w:t xml:space="preserve"> se revisó el</w:t>
            </w:r>
            <w:r w:rsidRPr="003915C9">
              <w:rPr>
                <w:rFonts w:ascii="Arial" w:eastAsia="Times New Roman" w:hAnsi="Arial" w:cs="Arial"/>
                <w:sz w:val="16"/>
                <w:szCs w:val="16"/>
                <w:lang w:eastAsia="es-CO"/>
              </w:rPr>
              <w:t xml:space="preserve"> proyecto "Implementación de acciones de conservación y restauración de los complejos de páramo, bosque alto-andino y servicios ecosistémicos de la Región Central" el cual está siendo desarrollado por la Región Administrativa de Planeación Especial Región Central, institución que encargada para </w:t>
            </w:r>
            <w:r w:rsidR="00190A16" w:rsidRPr="003915C9">
              <w:rPr>
                <w:rFonts w:ascii="Arial" w:eastAsia="Times New Roman" w:hAnsi="Arial" w:cs="Arial"/>
                <w:sz w:val="16"/>
                <w:szCs w:val="16"/>
                <w:lang w:eastAsia="es-CO"/>
              </w:rPr>
              <w:t>gestionar</w:t>
            </w:r>
            <w:r w:rsidRPr="003915C9">
              <w:rPr>
                <w:rFonts w:ascii="Arial" w:eastAsia="Times New Roman" w:hAnsi="Arial" w:cs="Arial"/>
                <w:sz w:val="16"/>
                <w:szCs w:val="16"/>
                <w:lang w:eastAsia="es-CO"/>
              </w:rPr>
              <w:t xml:space="preserve"> la segunda fase del proyecto "Conservación, restauración y uso sostenible de los servicios ecosistémicos del territorio comprendido entre los páramos de Guacheneque, Guerrero, Chingaza, Sumapaz, los cerros orientales de Bogotá y su área de influencia". </w:t>
            </w:r>
          </w:p>
        </w:tc>
        <w:tc>
          <w:tcPr>
            <w:tcW w:w="1152"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lastRenderedPageBreak/>
              <w:t>Ordenamiento y gestión de la ciudad - región</w:t>
            </w:r>
          </w:p>
        </w:tc>
        <w:tc>
          <w:tcPr>
            <w:tcW w:w="1423" w:type="dxa"/>
            <w:shd w:val="clear" w:color="000000" w:fill="FFFFFF"/>
            <w:vAlign w:val="center"/>
            <w:hideMark/>
          </w:tcPr>
          <w:p w:rsidR="003915C9" w:rsidRPr="003915C9" w:rsidRDefault="003915C9" w:rsidP="003915C9">
            <w:pPr>
              <w:spacing w:after="0" w:line="240" w:lineRule="auto"/>
              <w:rPr>
                <w:rFonts w:ascii="Arial" w:eastAsia="Times New Roman" w:hAnsi="Arial" w:cs="Arial"/>
                <w:color w:val="000000"/>
                <w:sz w:val="16"/>
                <w:szCs w:val="16"/>
                <w:lang w:eastAsia="es-CO"/>
              </w:rPr>
            </w:pPr>
            <w:r w:rsidRPr="003915C9">
              <w:rPr>
                <w:rFonts w:ascii="Arial" w:eastAsia="Times New Roman" w:hAnsi="Arial" w:cs="Arial"/>
                <w:color w:val="000000"/>
                <w:sz w:val="16"/>
                <w:szCs w:val="16"/>
                <w:lang w:eastAsia="es-CO"/>
              </w:rPr>
              <w:t>Manejo físico y Ecourbanismo</w:t>
            </w:r>
          </w:p>
        </w:tc>
        <w:tc>
          <w:tcPr>
            <w:tcW w:w="4556" w:type="dxa"/>
            <w:gridSpan w:val="4"/>
            <w:shd w:val="clear" w:color="auto" w:fill="auto"/>
            <w:vAlign w:val="center"/>
            <w:hideMark/>
          </w:tcPr>
          <w:p w:rsidR="003915C9" w:rsidRPr="003915C9" w:rsidRDefault="003915C9" w:rsidP="003915C9">
            <w:pPr>
              <w:spacing w:after="0" w:line="240" w:lineRule="auto"/>
              <w:jc w:val="center"/>
              <w:rPr>
                <w:rFonts w:ascii="Arial" w:eastAsia="Times New Roman" w:hAnsi="Arial" w:cs="Arial"/>
                <w:sz w:val="16"/>
                <w:szCs w:val="16"/>
                <w:lang w:eastAsia="es-CO"/>
              </w:rPr>
            </w:pPr>
            <w:r w:rsidRPr="003915C9">
              <w:rPr>
                <w:rFonts w:ascii="Arial" w:eastAsia="Times New Roman" w:hAnsi="Arial" w:cs="Arial"/>
                <w:sz w:val="16"/>
                <w:szCs w:val="16"/>
                <w:lang w:eastAsia="es-CO"/>
              </w:rPr>
              <w:t>42/2015</w:t>
            </w:r>
            <w:r w:rsidRPr="003915C9">
              <w:rPr>
                <w:rFonts w:ascii="Arial" w:eastAsia="Times New Roman" w:hAnsi="Arial" w:cs="Arial"/>
                <w:sz w:val="16"/>
                <w:szCs w:val="16"/>
                <w:lang w:eastAsia="es-CO"/>
              </w:rPr>
              <w:br/>
              <w:t>69/2015</w:t>
            </w:r>
          </w:p>
        </w:tc>
        <w:tc>
          <w:tcPr>
            <w:tcW w:w="3818" w:type="dxa"/>
            <w:shd w:val="clear" w:color="auto" w:fill="auto"/>
            <w:vAlign w:val="center"/>
            <w:hideMark/>
          </w:tcPr>
          <w:p w:rsidR="003915C9" w:rsidRPr="003915C9" w:rsidRDefault="003915C9" w:rsidP="003915C9">
            <w:pPr>
              <w:spacing w:after="0" w:line="240" w:lineRule="auto"/>
              <w:jc w:val="both"/>
              <w:rPr>
                <w:rFonts w:ascii="Arial" w:eastAsia="Times New Roman" w:hAnsi="Arial" w:cs="Arial"/>
                <w:sz w:val="16"/>
                <w:szCs w:val="16"/>
                <w:lang w:eastAsia="es-CO"/>
              </w:rPr>
            </w:pPr>
            <w:r w:rsidRPr="003915C9">
              <w:rPr>
                <w:rFonts w:ascii="Arial" w:eastAsia="Times New Roman" w:hAnsi="Arial" w:cs="Arial"/>
                <w:sz w:val="16"/>
                <w:szCs w:val="16"/>
                <w:lang w:eastAsia="es-CO"/>
              </w:rPr>
              <w:t xml:space="preserve">La consolidación de una visión regional que gira en torno a acciones sectoriales apuntando a aspectos relacionados con sostenibilidad ambiental, seguridad y soberanía alimentaria, infraestructura para la conectividad, desarrollo económico, y cooperación técnica recíproca, es una iniciativa que guarda coherencia con el objetivo de Ordenamiento y gestión de la Ciudad - Región en la medida que fortalece la base de conocimiento y de los mecanismos para la integración, coordinación y armonización de instrumentos de planeación regional, que tengan incidencia en la toma de decisiones sobre la ordenación territorial. </w:t>
            </w:r>
            <w:r w:rsidRPr="003915C9">
              <w:rPr>
                <w:rFonts w:ascii="Arial" w:eastAsia="Times New Roman" w:hAnsi="Arial" w:cs="Arial"/>
                <w:sz w:val="16"/>
                <w:szCs w:val="16"/>
                <w:lang w:eastAsia="es-CO"/>
              </w:rPr>
              <w:br/>
            </w:r>
            <w:r w:rsidRPr="003915C9">
              <w:rPr>
                <w:rFonts w:ascii="Arial" w:eastAsia="Times New Roman" w:hAnsi="Arial" w:cs="Arial"/>
                <w:sz w:val="16"/>
                <w:szCs w:val="16"/>
                <w:lang w:eastAsia="es-CO"/>
              </w:rPr>
              <w:br/>
              <w:t xml:space="preserve">En cuanto a la estrategia del PGA, se </w:t>
            </w:r>
            <w:r w:rsidR="00BA190B" w:rsidRPr="003915C9">
              <w:rPr>
                <w:rFonts w:ascii="Arial" w:eastAsia="Times New Roman" w:hAnsi="Arial" w:cs="Arial"/>
                <w:sz w:val="16"/>
                <w:szCs w:val="16"/>
                <w:lang w:eastAsia="es-CO"/>
              </w:rPr>
              <w:t>operó</w:t>
            </w:r>
            <w:r w:rsidRPr="003915C9">
              <w:rPr>
                <w:rFonts w:ascii="Arial" w:eastAsia="Times New Roman" w:hAnsi="Arial" w:cs="Arial"/>
                <w:sz w:val="16"/>
                <w:szCs w:val="16"/>
                <w:lang w:eastAsia="es-CO"/>
              </w:rPr>
              <w:t xml:space="preserve"> bajo el manejo físico y ecourbanismo, en la medida que se han venido adelantando acciones de interlocución y trabajo conjunto entre diferentes actores de orden distrital y regional, y  cuya continuidad en el tiempo permitirá la concreción de importantes acuerdos regionales ambientales, de esta manera se cumple el objetivo de orientar con criterios ambientales   las   decisiones   y   acciones   de   ocupación,   aprovechamiento y  transformación  del  territorio  y  los  recursos,  propias  de  los  distintos actores  particulares  e  institucionales.</w:t>
            </w:r>
          </w:p>
        </w:tc>
      </w:tr>
    </w:tbl>
    <w:p w:rsidR="007562F0" w:rsidRDefault="003915C9" w:rsidP="007562F0">
      <w:pPr>
        <w:rPr>
          <w:rFonts w:ascii="Arial" w:hAnsi="Arial" w:cs="Arial"/>
          <w:b/>
        </w:rPr>
      </w:pPr>
      <w:r>
        <w:rPr>
          <w:rFonts w:ascii="Arial" w:hAnsi="Arial" w:cs="Arial"/>
          <w:b/>
        </w:rPr>
        <w:lastRenderedPageBreak/>
        <w:fldChar w:fldCharType="end"/>
      </w:r>
    </w:p>
    <w:p w:rsidR="008D723A" w:rsidRDefault="008D723A" w:rsidP="007562F0">
      <w:pPr>
        <w:rPr>
          <w:rFonts w:ascii="Arial" w:hAnsi="Arial" w:cs="Arial"/>
          <w:b/>
        </w:rPr>
      </w:pPr>
    </w:p>
    <w:p w:rsidR="008D723A" w:rsidRDefault="008D723A" w:rsidP="007562F0">
      <w:pPr>
        <w:rPr>
          <w:rFonts w:ascii="Arial" w:hAnsi="Arial" w:cs="Arial"/>
          <w:b/>
        </w:rPr>
      </w:pPr>
    </w:p>
    <w:p w:rsidR="008D723A" w:rsidRDefault="008D723A" w:rsidP="007562F0">
      <w:pPr>
        <w:rPr>
          <w:rFonts w:ascii="Arial" w:hAnsi="Arial" w:cs="Arial"/>
          <w:b/>
        </w:rPr>
      </w:pPr>
    </w:p>
    <w:p w:rsidR="008D723A" w:rsidRDefault="008D723A" w:rsidP="007562F0">
      <w:pPr>
        <w:rPr>
          <w:rFonts w:ascii="Arial" w:hAnsi="Arial" w:cs="Arial"/>
          <w:b/>
        </w:rPr>
      </w:pPr>
    </w:p>
    <w:tbl>
      <w:tblPr>
        <w:tblStyle w:val="Tablaconcuadrcula"/>
        <w:tblW w:w="0" w:type="auto"/>
        <w:tblLook w:val="04A0" w:firstRow="1" w:lastRow="0" w:firstColumn="1" w:lastColumn="0" w:noHBand="0" w:noVBand="1"/>
      </w:tblPr>
      <w:tblGrid>
        <w:gridCol w:w="1454"/>
        <w:gridCol w:w="1855"/>
        <w:gridCol w:w="2141"/>
        <w:gridCol w:w="3917"/>
        <w:gridCol w:w="1350"/>
        <w:gridCol w:w="1349"/>
        <w:gridCol w:w="2380"/>
        <w:gridCol w:w="3314"/>
      </w:tblGrid>
      <w:tr w:rsidR="00001760" w:rsidRPr="006A655F" w:rsidTr="00001760">
        <w:trPr>
          <w:trHeight w:val="407"/>
          <w:tblHeader/>
        </w:trPr>
        <w:tc>
          <w:tcPr>
            <w:tcW w:w="17760" w:type="dxa"/>
            <w:gridSpan w:val="8"/>
            <w:shd w:val="clear" w:color="auto" w:fill="BDD6EE" w:themeFill="accent1" w:themeFillTint="66"/>
            <w:vAlign w:val="center"/>
          </w:tcPr>
          <w:p w:rsidR="00001760" w:rsidRPr="006A655F" w:rsidRDefault="000819FE" w:rsidP="00001760">
            <w:pPr>
              <w:jc w:val="center"/>
              <w:rPr>
                <w:rFonts w:ascii="Arial" w:hAnsi="Arial" w:cs="Arial"/>
                <w:b/>
                <w:bCs/>
                <w:sz w:val="16"/>
                <w:szCs w:val="16"/>
              </w:rPr>
            </w:pPr>
            <w:r>
              <w:rPr>
                <w:rFonts w:ascii="Arial" w:hAnsi="Arial" w:cs="Arial"/>
                <w:b/>
                <w:bCs/>
                <w:sz w:val="24"/>
                <w:szCs w:val="16"/>
              </w:rPr>
              <w:t xml:space="preserve">820. </w:t>
            </w:r>
            <w:r w:rsidR="00001760" w:rsidRPr="00001760">
              <w:rPr>
                <w:rFonts w:ascii="Arial" w:hAnsi="Arial" w:cs="Arial"/>
                <w:b/>
                <w:bCs/>
                <w:sz w:val="24"/>
                <w:szCs w:val="16"/>
              </w:rPr>
              <w:t>Control ambiental a los recursos hídrico y del suelo en el Distrito Capital.</w:t>
            </w:r>
          </w:p>
        </w:tc>
      </w:tr>
      <w:tr w:rsidR="00001760" w:rsidRPr="006A655F" w:rsidTr="00001760">
        <w:trPr>
          <w:trHeight w:val="1905"/>
          <w:tblHeader/>
        </w:trPr>
        <w:tc>
          <w:tcPr>
            <w:tcW w:w="1454"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 xml:space="preserve">PROYECTO DE INVERSIÓN </w:t>
            </w:r>
          </w:p>
        </w:tc>
        <w:tc>
          <w:tcPr>
            <w:tcW w:w="1855"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META PACA</w:t>
            </w:r>
          </w:p>
        </w:tc>
        <w:tc>
          <w:tcPr>
            <w:tcW w:w="2141"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ACTIVIDADES PROGRAMADAS</w:t>
            </w:r>
          </w:p>
        </w:tc>
        <w:tc>
          <w:tcPr>
            <w:tcW w:w="3917"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ACTIVIDADES EJECUTADAS</w:t>
            </w:r>
          </w:p>
        </w:tc>
        <w:tc>
          <w:tcPr>
            <w:tcW w:w="1350"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OBJETIVO PGA</w:t>
            </w:r>
          </w:p>
        </w:tc>
        <w:tc>
          <w:tcPr>
            <w:tcW w:w="1349"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ESTRATEGIA PGA</w:t>
            </w:r>
          </w:p>
        </w:tc>
        <w:tc>
          <w:tcPr>
            <w:tcW w:w="2380"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CONTRATOS MEDIANTE LOS CUALES SE EJECUTÒ LA ACTIVIDAD</w:t>
            </w:r>
          </w:p>
        </w:tc>
        <w:tc>
          <w:tcPr>
            <w:tcW w:w="3314" w:type="dxa"/>
            <w:shd w:val="clear" w:color="auto" w:fill="BDD6EE" w:themeFill="accent1" w:themeFillTint="66"/>
            <w:vAlign w:val="center"/>
          </w:tcPr>
          <w:p w:rsidR="00001760" w:rsidRPr="006A655F" w:rsidRDefault="00001760" w:rsidP="00001760">
            <w:pPr>
              <w:jc w:val="both"/>
              <w:rPr>
                <w:rFonts w:ascii="Arial" w:hAnsi="Arial" w:cs="Arial"/>
                <w:b/>
                <w:bCs/>
                <w:sz w:val="16"/>
                <w:szCs w:val="16"/>
              </w:rPr>
            </w:pPr>
            <w:r w:rsidRPr="006A655F">
              <w:rPr>
                <w:rFonts w:ascii="Arial" w:hAnsi="Arial" w:cs="Arial"/>
                <w:b/>
                <w:bCs/>
                <w:sz w:val="16"/>
                <w:szCs w:val="16"/>
              </w:rPr>
              <w:t>COHERENCIA Y CONCORDANCIA QUE GUARDA CADA ACTIVIDAD CON LOS OBJETIVOS Y ESTRATEGIAS DEL PLAN DE GESTIÓN AMBIENTAL DEL DISTRITO CAPITAL, QUE SIRVIERON DE JUSTIFICACIÓN PARA SU INCORPORACIÓN DENTRO DE PLAN DE ACCIÓN CUATRIENAL AMBIENTAL-PACA</w:t>
            </w:r>
          </w:p>
        </w:tc>
      </w:tr>
      <w:tr w:rsidR="00001760" w:rsidRPr="006A655F" w:rsidTr="00001760">
        <w:trPr>
          <w:trHeight w:val="436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w:t>
            </w:r>
            <w:r w:rsidRPr="006A655F">
              <w:rPr>
                <w:rFonts w:ascii="Arial" w:hAnsi="Arial" w:cs="Arial"/>
                <w:b/>
                <w:sz w:val="16"/>
                <w:szCs w:val="16"/>
              </w:rPr>
              <w:lastRenderedPageBreak/>
              <w:t>y Tunjuelo. De igual manera, se evaluó la información contenida en el radicado 2014ER207256 del 11/12/2014, que corresponde al decimocuarto Informe Semestral del Plan de Saneamiento y Manejo de Vertimientos, PSMV, 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818/2015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00"/>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330/2015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572/2015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681/2015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591/2015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403/2015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1211/2015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1095/2015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272/2015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921/2015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1187/2015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noWrap/>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1206/2015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554/2015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1179/2015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1123/2015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1106/2015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1185/2015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342/2015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501/2015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343/2015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1208/2015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579/2015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1225/2015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863/2015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252/2015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582/2015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955/2015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1131/2015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676/2015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1023/2015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984/2015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1213/2015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618/2015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978/2015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665/2015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376/2015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1468/2014</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noWrap/>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1207/2015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1275/2015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1212/2015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688/2015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1030/2015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720/2015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noWrap/>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1226/2015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938/2015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1009/2015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601/2015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1157/2015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701/2015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372/2015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531/2015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447/2015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726/2015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789/2015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842/2015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1204/2015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803/2015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653/2015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536/2015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845/2015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898/2015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951/2015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648/2015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533/2015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587/2015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1188/2015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604/2015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360/2015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787/2015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1018/2015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696/2015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1035/2015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821/2015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369/2015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922/2015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884/2015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943/2015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507/2015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352/2015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942/2015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1120/2015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810/2015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867/2015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722/2015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223/2015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450/2015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429/2015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973/2015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705/2015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678/2015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1100/2015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1065/2015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896/2015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1108/2015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567/2015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339/2015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599/2015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448/2015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1155/2015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729/2015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noWrap/>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1220/2015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1152/2015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349/2015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1066/2015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682/2015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593/2015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1116/2015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1178/2015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noWrap/>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1219/2015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900/2015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699/2015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559/2015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246/2015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264/2015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1110/2015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560/2015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438/2015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346/2015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1417/2015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551/2015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1153/2015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706/2015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605/2015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949/2015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714/2015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1162/2015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889/2015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983/2015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689/2015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1196/2015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1105/2015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953/2015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590/2015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1189/2015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361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Anualmente 2,000 establecimientos que generan vertimientos, a través de actuaciones técnico administrativas</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se realizó control a un total de 2.294 establecimientos que generan vertimientos, a través de actuaciones técnicas y/o administrativas en cumplimiento de las actividades de comando y control de la autoridad ambiental con el fin que los usuarios cumplan los estándares establecidos para el vertido de aguas residuales y los trámites de los registros y/o permisos correspondientes. Dichas actuaciones corresponden a evaluación, control y seguimiento de usuarios, los cuales son atendidos por la SDA mediante visitas, requerimientos, conceptos técnicos y actos administrativos promulgados por la Subdirección del Recurso Hídrico y del Suelo. Los usuarios controlados se discriminan por cuenca de la siguiente manera: CUENCA FUCHA: 605 - CUENCA SALITRE: 1.021 - CUENCA TUNJUELO: 668 </w:t>
            </w:r>
            <w:r w:rsidRPr="006A655F">
              <w:rPr>
                <w:rFonts w:ascii="Arial" w:hAnsi="Arial" w:cs="Arial"/>
                <w:b/>
                <w:sz w:val="16"/>
                <w:szCs w:val="16"/>
              </w:rPr>
              <w:br/>
              <w:t xml:space="preserve">Durante el año 2015 se verificaron y actualizaron de los puntos de vertimientos de la Empresa de Acueducto, Alcantarillado y Aseo de Bogotá, información consignada en fichas técnicas para lo cual se realizaron visitas de seguimiento a los puntos ubicados en los ríos Torca, Salitre, Fucha y Tunjuelo. De igual manera, se evaluó la información contenida en el radicado 2014ER207256 del 11/12/2014, que corresponde al decimocuarto Informe Semestral del Plan de Saneamiento y Manejo de Vertimientos, PSMV, </w:t>
            </w:r>
            <w:r w:rsidRPr="006A655F">
              <w:rPr>
                <w:rFonts w:ascii="Arial" w:hAnsi="Arial" w:cs="Arial"/>
                <w:b/>
                <w:sz w:val="16"/>
                <w:szCs w:val="16"/>
              </w:rPr>
              <w:lastRenderedPageBreak/>
              <w:t>se visitaron  las corrientes secundarias en donde se están llevando a cabo obras de saneamiento. Se elaboró el Concepto Técnico de seguimiento, CT 12274 del 30/11/2015. Finalmente a 31 de Diciembre de 2015 se realizó la evaluación al radicado 2015ER100582 del 09/06/2015, que corresponde al decimoquinto Informe Semestral del Plan de Saneamiento y Manejo de Vertimientos - PSMV, mediante el proceso Forest No. 3326868, se emitió el Concepto Técnico 00038 - (2016IE00795).</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los establecimientos que generan vertimientos tiene toda la concordancia con la meta de mejorar la calidad hídrica de los cuerpos de agua pues se constituye en una de las principales actividades desde la autoridad ambiental para reducir la afectación a ríos y quebradas.</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1400/2015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755/2015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1055/2015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1403/2015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756/2015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1047/2015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1048/2015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1043/2015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1104/2015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9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1051/2015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1416/2015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Desarrollar 100% el programa de tasas retributivas por carga al recurso hídrico</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w:t>
            </w:r>
            <w:r w:rsidR="00335235" w:rsidRPr="006A655F">
              <w:rPr>
                <w:rFonts w:ascii="Arial" w:hAnsi="Arial" w:cs="Arial"/>
                <w:b/>
                <w:sz w:val="16"/>
                <w:szCs w:val="16"/>
              </w:rPr>
              <w:t>Visitas</w:t>
            </w:r>
            <w:r w:rsidRPr="006A655F">
              <w:rPr>
                <w:rFonts w:ascii="Arial" w:hAnsi="Arial" w:cs="Arial"/>
                <w:b/>
                <w:sz w:val="16"/>
                <w:szCs w:val="16"/>
              </w:rPr>
              <w:t xml:space="preserve"> de control y vigilancia en el Sector de San José de Bavaria de la localidad de Suba, identificando 26 nuevos usuarios que utilizan el recurso hídrico superficial como receptor de sus vertimientos puntuales. A la fecha se han identificado 27 nuevos usuarios. </w:t>
            </w:r>
            <w:r w:rsidRPr="006A655F">
              <w:rPr>
                <w:rFonts w:ascii="Arial" w:hAnsi="Arial" w:cs="Arial"/>
                <w:b/>
                <w:sz w:val="16"/>
                <w:szCs w:val="16"/>
              </w:rPr>
              <w:br/>
              <w:t xml:space="preserve">Se emitió Informe Técnico del cálculo de la carga contaminante de los usuarios que realizaron vertimientos puntuales directos e indirectos al recurso hídrico superficial en la vigencia 2014. Se elaboró el Informe Técnico que corresponde al informe anual de Evaluación de Cumplimiento de Metas Globales de Cargas Contaminantes de las Cuencas de los ríos Torca, Salitre, Fucha y Tunjuelo vigencia 2014. </w:t>
            </w:r>
            <w:r w:rsidR="00335235" w:rsidRPr="006A655F">
              <w:rPr>
                <w:rFonts w:ascii="Arial" w:hAnsi="Arial" w:cs="Arial"/>
                <w:b/>
                <w:sz w:val="16"/>
                <w:szCs w:val="16"/>
              </w:rPr>
              <w:t>Teniendo</w:t>
            </w:r>
            <w:r w:rsidRPr="006A655F">
              <w:rPr>
                <w:rFonts w:ascii="Arial" w:hAnsi="Arial" w:cs="Arial"/>
                <w:b/>
                <w:sz w:val="16"/>
                <w:szCs w:val="16"/>
              </w:rPr>
              <w:t xml:space="preserve"> en cuenta el artículo 2 de la Resolución 01533 de 2015 "Por la cual se acoge la evaluación del cumplimiento de la meta global de carga contaminante para los tramos de los ríos Torca, Salitre, Fucha y Tunjuelo del periodo anual 2013, se fija el factor regional de los mismos y se adoptan otras determinaciones". </w:t>
            </w:r>
            <w:r w:rsidRPr="006A655F">
              <w:rPr>
                <w:rFonts w:ascii="Arial" w:hAnsi="Arial" w:cs="Arial"/>
                <w:b/>
                <w:sz w:val="16"/>
                <w:szCs w:val="16"/>
              </w:rPr>
              <w:br/>
              <w:t xml:space="preserve">Se elaboró el reporte de aplicación del instrumento económico de tasa retributiva en la jurisdicción de la Secretaría Distrital de Ambiente en el formato del MADS. Se publicaron en la página web de la SDA los Informes Técnicos 01575 de 2015, Descripción y Contexto de las Cuencas Hídricas del Distrito Capital; 01608 del 2015, Estado de Calidad de los ríos </w:t>
            </w:r>
            <w:r w:rsidRPr="006A655F">
              <w:rPr>
                <w:rFonts w:ascii="Arial" w:hAnsi="Arial" w:cs="Arial"/>
                <w:b/>
                <w:sz w:val="16"/>
                <w:szCs w:val="16"/>
              </w:rPr>
              <w:lastRenderedPageBreak/>
              <w:t>Torca, Salitre, Fucha y Tunjuelo; 01606 de 2015, Línea Base - Usuarios, Cargas y Legalidad; 01655 de 2015, Escenario de Intervención Propuesto por la SDA para el establecimiento de los Objetivos de Calidad 2018-2020.  Informe Objetivos de Calidad 2018-2020, Convenio Especial de Cooperación de Ciencia y Tecnología No.1520 de 2014.</w:t>
            </w:r>
            <w:r w:rsidRPr="006A655F">
              <w:rPr>
                <w:rFonts w:ascii="Arial" w:hAnsi="Arial" w:cs="Arial"/>
                <w:b/>
                <w:sz w:val="16"/>
                <w:szCs w:val="16"/>
              </w:rPr>
              <w:br/>
              <w:t xml:space="preserve">El 02 de Julio del año 2015. </w:t>
            </w:r>
            <w:r w:rsidRPr="006A655F">
              <w:rPr>
                <w:rFonts w:ascii="Arial" w:hAnsi="Arial" w:cs="Arial"/>
                <w:b/>
                <w:sz w:val="16"/>
                <w:szCs w:val="16"/>
              </w:rPr>
              <w:br/>
              <w:t xml:space="preserve">Socialización del Proceso de Establecimiento de Meta Global y Metas Individuales y/o Grupales de Carga Contaminante para el quinquenio 2016-2020, Plan Quinquenal, en donde se dio a conocer a los usuarios de tasa retributiva las diferentes etapas en las que se desarrollará el proceso, los tiempos establecidos en la normatividad (Capitulo 7 del Título 9 del Decreto 1076 de 2015) y el contexto en general. </w:t>
            </w:r>
            <w:r w:rsidRPr="006A655F">
              <w:rPr>
                <w:rFonts w:ascii="Arial" w:hAnsi="Arial" w:cs="Arial"/>
                <w:b/>
                <w:sz w:val="16"/>
                <w:szCs w:val="16"/>
              </w:rPr>
              <w:br/>
              <w:t>Se estableció el cronograma de actividades "Por el cual se da inicio al proceso para el establecimiento de la meta global y las metas individuales y/o grupales de carga contaminante para los tramos de los ríos Torca, Salitre, Fucha y Tunjuelo, ubicados en el perímetro urbano de Bogotá y se adoptan otras determinaciones"</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actividad de desarrollar el programa de tasas retributivas tiene coherencia con la meta pues permite establecer aquellos actores que generan carga directa en los cuerpos de agua y que son sujetos de pago de tasas retributivas, generando recursos cuya destinación buscará el mejoramiento </w:t>
            </w:r>
            <w:r w:rsidR="00335235" w:rsidRPr="006A655F">
              <w:rPr>
                <w:rFonts w:ascii="Arial" w:hAnsi="Arial" w:cs="Arial"/>
                <w:b/>
                <w:sz w:val="16"/>
                <w:szCs w:val="16"/>
              </w:rPr>
              <w:t>ambiental</w:t>
            </w:r>
            <w:r w:rsidRPr="006A655F">
              <w:rPr>
                <w:rFonts w:ascii="Arial" w:hAnsi="Arial" w:cs="Arial"/>
                <w:b/>
                <w:sz w:val="16"/>
                <w:szCs w:val="16"/>
              </w:rPr>
              <w:t xml:space="preserve"> del recurso hídrico.</w:t>
            </w:r>
            <w:r w:rsidRPr="006A655F">
              <w:rPr>
                <w:rFonts w:ascii="Arial" w:hAnsi="Arial" w:cs="Arial"/>
                <w:b/>
                <w:sz w:val="16"/>
                <w:szCs w:val="16"/>
              </w:rPr>
              <w:br/>
              <w:t>Esta actividad es complementaria y resultado de las actividades de control y vigilancia y se vincula de manera directa con el objetivo de calidad del agua y regulación hídrica al aplicar instrumentos y generar recursos para el tratamiento del recurso hídrico</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1355/2015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La anterior descripción hace que esta actividad guarde coherencia con la meta de mejoramiento de los tramos de río urbano y se enmarca tanto en la estrategia de control y vigilancia y al objetivo de calidad del agua y regulación hídrica</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w:t>
            </w:r>
            <w:r w:rsidRPr="006A655F">
              <w:rPr>
                <w:rFonts w:ascii="Arial" w:hAnsi="Arial" w:cs="Arial"/>
                <w:b/>
                <w:sz w:val="16"/>
                <w:szCs w:val="16"/>
              </w:rPr>
              <w:lastRenderedPageBreak/>
              <w:t xml:space="preserve">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945/2015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 xml:space="preserve">La anterior descripción hace que esta actividad guarde coherencia con la meta de mejoramiento de los tramos de río urbano y se enmarca tanto en la estrategia de control y vigilancia y al </w:t>
            </w:r>
            <w:r w:rsidRPr="006A655F">
              <w:rPr>
                <w:rFonts w:ascii="Arial" w:hAnsi="Arial" w:cs="Arial"/>
                <w:b/>
                <w:sz w:val="16"/>
                <w:szCs w:val="16"/>
              </w:rPr>
              <w:lastRenderedPageBreak/>
              <w:t>objetivo de calidad del agua y regulación hídrica</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371/2015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La anterior descripción hace que esta actividad guarde coherencia con la meta de mejoramiento de los tramos de río urbano y se enmarca tanto en la estrategia de control y vigilancia y al objetivo de calidad del agua y regulación hídrica</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715/2015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La anterior descripción hace que esta actividad guarde coherencia con la meta de mejoramiento de los tramos de río urbano y se enmarca tanto en la estrategia de control y vigilancia y al objetivo de calidad del agua y regulación hídrica</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w:t>
            </w:r>
            <w:r w:rsidRPr="006A655F">
              <w:rPr>
                <w:rFonts w:ascii="Arial" w:hAnsi="Arial" w:cs="Arial"/>
                <w:b/>
                <w:sz w:val="16"/>
                <w:szCs w:val="16"/>
              </w:rPr>
              <w:lastRenderedPageBreak/>
              <w:t xml:space="preserve">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828/2015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 xml:space="preserve">La anterior descripción hace que esta actividad guarde coherencia con la meta de mejoramiento de los tramos de río urbano y se enmarca tanto en la estrategia de control y vigilancia y al </w:t>
            </w:r>
            <w:r w:rsidRPr="006A655F">
              <w:rPr>
                <w:rFonts w:ascii="Arial" w:hAnsi="Arial" w:cs="Arial"/>
                <w:b/>
                <w:sz w:val="16"/>
                <w:szCs w:val="16"/>
              </w:rPr>
              <w:lastRenderedPageBreak/>
              <w:t>objetivo de calidad del agua y regulación hídrica</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950/2015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La anterior descripción hace que esta actividad guarde coherencia con la meta de mejoramiento de los tramos de río urbano y se enmarca tanto en la estrategia de control y vigilancia y al objetivo de calidad del agua y regulación hídrica</w:t>
            </w:r>
          </w:p>
        </w:tc>
      </w:tr>
      <w:tr w:rsidR="00001760" w:rsidRPr="006A655F" w:rsidTr="00001760">
        <w:trPr>
          <w:trHeight w:val="180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las fases del programa monitoreo a afluentes y efluentes en el D. C.</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Diseño y conceptualización del programa monitoreo a afluentes y efluentes en el D. C – Fase XII cuyo objetivo particular es “Ejecutar programas de monitoreo a la calidad y cantidad del agua de los cuerpos hídricos de la ciudad de Bogotá y vertimientos a: fuentes superficiales, y generados por establecimientos industriales, comerciales y de servicios al sistema de alcantarillado público.”</w:t>
            </w:r>
            <w:r w:rsidRPr="006A655F">
              <w:rPr>
                <w:rFonts w:ascii="Arial" w:hAnsi="Arial" w:cs="Arial"/>
                <w:b/>
                <w:sz w:val="16"/>
                <w:szCs w:val="16"/>
              </w:rPr>
              <w:br/>
              <w:t xml:space="preserve">Durante la ejecución del Programa de Monitoreo a Efluentes y Afluentes,  PMAE fase XIII se alcanzó para el monitoreo y reporte de resultados de laboratorio un </w:t>
            </w:r>
            <w:r w:rsidR="00335235" w:rsidRPr="006A655F">
              <w:rPr>
                <w:rFonts w:ascii="Arial" w:hAnsi="Arial" w:cs="Arial"/>
                <w:b/>
                <w:sz w:val="16"/>
                <w:szCs w:val="16"/>
              </w:rPr>
              <w:t>avance</w:t>
            </w:r>
            <w:r w:rsidRPr="006A655F">
              <w:rPr>
                <w:rFonts w:ascii="Arial" w:hAnsi="Arial" w:cs="Arial"/>
                <w:b/>
                <w:sz w:val="16"/>
                <w:szCs w:val="16"/>
              </w:rPr>
              <w:t xml:space="preserve"> del 66,71% (corresponde a dos sub actividades ponderadas, la ejecución en campo de 363 muestreos de 373 que se tenían programados y a la recepción de 37 resultados de laboratorio). Se realizó el Informe Técnico de Monitoreo 2015 de Programa de Monitoreo a Efluentes y Afluentes Fase XIII</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monitoreo de afluentes y </w:t>
            </w:r>
            <w:r w:rsidR="00335235" w:rsidRPr="006A655F">
              <w:rPr>
                <w:rFonts w:ascii="Arial" w:hAnsi="Arial" w:cs="Arial"/>
                <w:b/>
                <w:sz w:val="16"/>
                <w:szCs w:val="16"/>
              </w:rPr>
              <w:t>efluentes</w:t>
            </w:r>
            <w:r w:rsidRPr="006A655F">
              <w:rPr>
                <w:rFonts w:ascii="Arial" w:hAnsi="Arial" w:cs="Arial"/>
                <w:b/>
                <w:sz w:val="16"/>
                <w:szCs w:val="16"/>
              </w:rPr>
              <w:t xml:space="preserve"> es la actividad base para desarrollar las actividades de vigilancia y el posterior control a las actividades y sectores contaminantes de los cuerpos hídricos de la ciudad.</w:t>
            </w:r>
            <w:r w:rsidRPr="006A655F">
              <w:rPr>
                <w:rFonts w:ascii="Arial" w:hAnsi="Arial" w:cs="Arial"/>
                <w:b/>
                <w:sz w:val="16"/>
                <w:szCs w:val="16"/>
              </w:rPr>
              <w:br/>
              <w:t>La anterior descripción hace que esta actividad guarde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w:t>
            </w:r>
            <w:r w:rsidRPr="006A655F">
              <w:rPr>
                <w:rFonts w:ascii="Arial" w:hAnsi="Arial" w:cs="Arial"/>
                <w:b/>
                <w:sz w:val="16"/>
                <w:szCs w:val="16"/>
              </w:rPr>
              <w:lastRenderedPageBreak/>
              <w:t xml:space="preserve">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1422/2015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 xml:space="preserve">Esta operación guarda coherencia con la </w:t>
            </w:r>
            <w:r w:rsidRPr="006A655F">
              <w:rPr>
                <w:rFonts w:ascii="Arial" w:hAnsi="Arial" w:cs="Arial"/>
                <w:b/>
                <w:sz w:val="16"/>
                <w:szCs w:val="16"/>
              </w:rPr>
              <w:lastRenderedPageBreak/>
              <w:t>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1355/2015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758/2015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w:t>
            </w:r>
            <w:r w:rsidRPr="006A655F">
              <w:rPr>
                <w:rFonts w:ascii="Arial" w:hAnsi="Arial" w:cs="Arial"/>
                <w:b/>
                <w:sz w:val="16"/>
                <w:szCs w:val="16"/>
              </w:rPr>
              <w:lastRenderedPageBreak/>
              <w:t xml:space="preserve">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1421/2015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 xml:space="preserve">Esta operación guarda coherencia con la meta de mejoramiento de los tramos de río urbano y se enmarca tanto en la </w:t>
            </w:r>
            <w:r w:rsidRPr="006A655F">
              <w:rPr>
                <w:rFonts w:ascii="Arial" w:hAnsi="Arial" w:cs="Arial"/>
                <w:b/>
                <w:sz w:val="16"/>
                <w:szCs w:val="16"/>
              </w:rPr>
              <w:lastRenderedPageBreak/>
              <w:t>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846/2015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1407/2015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w:t>
            </w:r>
            <w:r w:rsidRPr="006A655F">
              <w:rPr>
                <w:rFonts w:ascii="Arial" w:hAnsi="Arial" w:cs="Arial"/>
                <w:b/>
                <w:sz w:val="16"/>
                <w:szCs w:val="16"/>
              </w:rPr>
              <w:lastRenderedPageBreak/>
              <w:t xml:space="preserve">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759/2015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 xml:space="preserve">Esta operación guarda coherencia con la meta de mejoramiento de los tramos de río urbano y se enmarca tanto en la </w:t>
            </w:r>
            <w:r w:rsidRPr="006A655F">
              <w:rPr>
                <w:rFonts w:ascii="Arial" w:hAnsi="Arial" w:cs="Arial"/>
                <w:b/>
                <w:sz w:val="16"/>
                <w:szCs w:val="16"/>
              </w:rPr>
              <w:lastRenderedPageBreak/>
              <w:t>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1432/2015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770/2015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w:t>
            </w:r>
            <w:r w:rsidRPr="006A655F">
              <w:rPr>
                <w:rFonts w:ascii="Arial" w:hAnsi="Arial" w:cs="Arial"/>
                <w:b/>
                <w:sz w:val="16"/>
                <w:szCs w:val="16"/>
              </w:rPr>
              <w:lastRenderedPageBreak/>
              <w:t xml:space="preserve">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1413/2015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 xml:space="preserve">Esta operación guarda coherencia con la meta de mejoramiento de los tramos de río urbano y se enmarca tanto en la </w:t>
            </w:r>
            <w:r w:rsidRPr="006A655F">
              <w:rPr>
                <w:rFonts w:ascii="Arial" w:hAnsi="Arial" w:cs="Arial"/>
                <w:b/>
                <w:sz w:val="16"/>
                <w:szCs w:val="16"/>
              </w:rPr>
              <w:lastRenderedPageBreak/>
              <w:t>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1406/2015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790/2015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w:t>
            </w:r>
            <w:r w:rsidRPr="006A655F">
              <w:rPr>
                <w:rFonts w:ascii="Arial" w:hAnsi="Arial" w:cs="Arial"/>
                <w:b/>
                <w:sz w:val="16"/>
                <w:szCs w:val="16"/>
              </w:rPr>
              <w:lastRenderedPageBreak/>
              <w:t xml:space="preserve">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711/2015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 xml:space="preserve">Esta operación guarda coherencia con la meta de mejoramiento de los tramos de río urbano y se enmarca tanto en la </w:t>
            </w:r>
            <w:r w:rsidRPr="006A655F">
              <w:rPr>
                <w:rFonts w:ascii="Arial" w:hAnsi="Arial" w:cs="Arial"/>
                <w:b/>
                <w:sz w:val="16"/>
                <w:szCs w:val="16"/>
              </w:rPr>
              <w:lastRenderedPageBreak/>
              <w:t>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1375/2015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773/2015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02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un programa de operación de la Red de Calidad Hídrica de Bogotá</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Elaboración del informe técnico: ÍNDICE DE CALIDAD HÍDRICA - WQI PARA PERIODO 2014-2015 Red de Calidad Hídrica de Bogotá.</w:t>
            </w:r>
            <w:r w:rsidRPr="006A655F">
              <w:rPr>
                <w:rFonts w:ascii="Arial" w:hAnsi="Arial" w:cs="Arial"/>
                <w:b/>
                <w:sz w:val="16"/>
                <w:szCs w:val="16"/>
              </w:rPr>
              <w:br/>
              <w:t>Diseño y conceptualización del Programa de Monitoreo de la operación de la Red de Calidad Hídrica de Bogotá</w:t>
            </w:r>
            <w:r w:rsidRPr="006A655F">
              <w:rPr>
                <w:rFonts w:ascii="Arial" w:hAnsi="Arial" w:cs="Arial"/>
                <w:b/>
                <w:sz w:val="16"/>
                <w:szCs w:val="16"/>
              </w:rPr>
              <w:br/>
              <w:t xml:space="preserve">Durante el año 2015, se ejecutó el monitoreo en campo de calidad de los ríos urbanos de la siguiente manera: 314 muestras compuestas en ventanas temporales bi-horarias distribuidas en 170 muestreos en 28 puntos ubicados en los ríos Torca, Fucha, Salitre y Tunjuelo, 72 muestras de dos horas realizadas en 4 jornadas de 24 horas, </w:t>
            </w:r>
            <w:r w:rsidRPr="006A655F">
              <w:rPr>
                <w:rFonts w:ascii="Arial" w:hAnsi="Arial" w:cs="Arial"/>
                <w:b/>
                <w:sz w:val="16"/>
                <w:szCs w:val="16"/>
              </w:rPr>
              <w:lastRenderedPageBreak/>
              <w:t xml:space="preserve">2 muestreos en el río Bogotá, que componen la red tradicional y 72 muestreos en 36 puntos ubicados en subcuencas priorizadas que conforman la ampliación de la red. </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 xml:space="preserve">Esta operación guarda coherencia con la meta de mejoramiento de los tramos de río urbano y se enmarca tanto en la </w:t>
            </w:r>
            <w:r w:rsidRPr="006A655F">
              <w:rPr>
                <w:rFonts w:ascii="Arial" w:hAnsi="Arial" w:cs="Arial"/>
                <w:b/>
                <w:sz w:val="16"/>
                <w:szCs w:val="16"/>
              </w:rPr>
              <w:lastRenderedPageBreak/>
              <w:t>estrategia de control y vigilancia y al objetivo de calidad del agua y regulación hídrica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seguimiento para un total de 99 usuarios por </w:t>
            </w:r>
            <w:r w:rsidRPr="006A655F">
              <w:rPr>
                <w:rFonts w:ascii="Arial" w:hAnsi="Arial" w:cs="Arial"/>
                <w:b/>
                <w:sz w:val="16"/>
                <w:szCs w:val="16"/>
              </w:rPr>
              <w:lastRenderedPageBreak/>
              <w:t>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832/2015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La operación de la red de monitoreo permite a través de información cualificada en tiempo real tomar conocer la calidad del recurso hídrico y tomar decisiones apropiadas para </w:t>
            </w:r>
            <w:r w:rsidR="00335235" w:rsidRPr="006A655F">
              <w:rPr>
                <w:rFonts w:ascii="Arial" w:hAnsi="Arial" w:cs="Arial"/>
                <w:b/>
                <w:sz w:val="16"/>
                <w:szCs w:val="16"/>
              </w:rPr>
              <w:t>desarrollar</w:t>
            </w:r>
            <w:r w:rsidRPr="006A655F">
              <w:rPr>
                <w:rFonts w:ascii="Arial" w:hAnsi="Arial" w:cs="Arial"/>
                <w:b/>
                <w:sz w:val="16"/>
                <w:szCs w:val="16"/>
              </w:rPr>
              <w:t xml:space="preserve"> las actividades de vigilancia y el posterior control a las actividades, áreas y sectores económicos que generan afectación a los cuerpos hídricos de la ciudad.</w:t>
            </w:r>
            <w:r w:rsidRPr="006A655F">
              <w:rPr>
                <w:rFonts w:ascii="Arial" w:hAnsi="Arial" w:cs="Arial"/>
                <w:b/>
                <w:sz w:val="16"/>
                <w:szCs w:val="16"/>
              </w:rPr>
              <w:br/>
              <w:t>Esta operación guarda coherencia con la meta de mejoramiento de los tramos de río urbano y se enmarca tanto en la estrategia de control y vigilancia y al objetivo de calidad del agua y regulación hídrica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774/2015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924/2015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1038/2015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431/2015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542/2015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525/2015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677/2015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1041/2015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527/2015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1017/2015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885/2015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1050/2015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697/2015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2250"/>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Ejecutar el programa de control, evaluación y seguimiento a puntos de agua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Se realizó la brigada de toma de niveles, la brigada de sellamientos y se continua realizando el seguimiento a medidores de los 39 pozos con concesión vigente y más de 40 en control; se ha realizado la gestión con usuarios para que realicen el pago de los seguimientos realizados durante la vigencia 2008 y 2009, lo cual ha generado un cobro de cartera de $ 7.620.800 M/cte., actualización del archivo de gestión, bases de datos, información publicada en la página WEB y se han actualizado 153 expedientes del grupo de aguas subterráneas.</w:t>
            </w:r>
            <w:r w:rsidRPr="006A655F">
              <w:rPr>
                <w:rFonts w:ascii="Arial" w:hAnsi="Arial" w:cs="Arial"/>
                <w:b/>
                <w:sz w:val="16"/>
                <w:szCs w:val="16"/>
              </w:rPr>
              <w:br/>
              <w:t>Ejecución de meta en la Reserva:</w:t>
            </w:r>
            <w:r w:rsidRPr="006A655F">
              <w:rPr>
                <w:rFonts w:ascii="Arial" w:hAnsi="Arial" w:cs="Arial"/>
                <w:b/>
                <w:sz w:val="16"/>
                <w:szCs w:val="16"/>
              </w:rPr>
              <w:br/>
              <w:t xml:space="preserve">Para la vigencia 2015 se programó una magnitud de meta de la reserva por un valor del 1,69% que corresponde al desarrollo de actuaciones técnicas para 31 usuarios en seguimiento y 68 usuarios en actividades de control y posible </w:t>
            </w:r>
            <w:r w:rsidRPr="006A655F">
              <w:rPr>
                <w:rFonts w:ascii="Arial" w:hAnsi="Arial" w:cs="Arial"/>
                <w:b/>
                <w:sz w:val="16"/>
                <w:szCs w:val="16"/>
              </w:rPr>
              <w:lastRenderedPageBreak/>
              <w:t>seguimiento para un total de 99 usuarios por atender, provenientes de la vigencia 2014.  Se ejecutaron 65 productos técnicos de control y seguimiento para obtener un cumplimiento parcial del 1,11% del 1,69% total de la reserva programada.</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 actividad de controlar a la explotación y afectación de aguas subterráneas, manantiales y aljibes, tiene concordancia con la meta de mejorar la calidad hídrica de los cuerpos de agua pues se constituye en una actividad esencial en el manejo sostenible del recurso hídrico subterráneo.</w:t>
            </w:r>
            <w:r w:rsidRPr="006A655F">
              <w:rPr>
                <w:rFonts w:ascii="Arial" w:hAnsi="Arial" w:cs="Arial"/>
                <w:b/>
                <w:sz w:val="16"/>
                <w:szCs w:val="16"/>
              </w:rPr>
              <w:br/>
              <w:t>Guarda total coherencia con la estrategia de control y vigilancia y con el objetivo de calidad del agua y regulación hídrica pues al cumplir de manera efectiva con el control, los cuerpos de agua recuperarán su función ecológica y ambiental no solo para los ríos que son afluentes sino para el territorio que comprende la cuenca.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888/2015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1354/2015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1409/2015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1039/2015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826/2015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808/2015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1144/2015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1410/2015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702/2015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42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296_20 Km. de ríos urbanos con índice de calidad hídrica WQI: 65 a 79</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Elaborar la metodología para la identificación de sitios con posible afectación del suelo y aplicarla en una zona previamente priorizada</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 Se efectuaron un total de 124 visitas técnicas entre acompañamientos y control y vigilancia a predios para determinar si </w:t>
            </w:r>
            <w:r w:rsidR="00335235" w:rsidRPr="006A655F">
              <w:rPr>
                <w:rFonts w:ascii="Arial" w:hAnsi="Arial" w:cs="Arial"/>
                <w:b/>
                <w:sz w:val="16"/>
                <w:szCs w:val="16"/>
              </w:rPr>
              <w:t>existían</w:t>
            </w:r>
            <w:r w:rsidRPr="006A655F">
              <w:rPr>
                <w:rFonts w:ascii="Arial" w:hAnsi="Arial" w:cs="Arial"/>
                <w:b/>
                <w:sz w:val="16"/>
                <w:szCs w:val="16"/>
              </w:rPr>
              <w:t xml:space="preserve"> aspectos que conllevaran sospecha de afectación negativa al suelo que requirieran investigación previa a  desarrollos urbanísticos.  </w:t>
            </w:r>
            <w:r w:rsidRPr="006A655F">
              <w:rPr>
                <w:rFonts w:ascii="Arial" w:hAnsi="Arial" w:cs="Arial"/>
                <w:b/>
                <w:sz w:val="16"/>
                <w:szCs w:val="16"/>
              </w:rPr>
              <w:br/>
              <w:t xml:space="preserve">Diagnóstico preliminar de 330.5 hectáreas, relacionadas con predios que conforman zonas proyectadas como de Renovación Urbana, las cuales se ubican en las localidades de Fontibón, Ciudad Bolívar, Puente Aranda </w:t>
            </w:r>
            <w:r w:rsidR="00335235" w:rsidRPr="006A655F">
              <w:rPr>
                <w:rFonts w:ascii="Arial" w:hAnsi="Arial" w:cs="Arial"/>
                <w:b/>
                <w:sz w:val="16"/>
                <w:szCs w:val="16"/>
              </w:rPr>
              <w:t>y Teusaquillo</w:t>
            </w:r>
            <w:r w:rsidRPr="006A655F">
              <w:rPr>
                <w:rFonts w:ascii="Arial" w:hAnsi="Arial" w:cs="Arial"/>
                <w:b/>
                <w:sz w:val="16"/>
                <w:szCs w:val="16"/>
              </w:rPr>
              <w:t>.</w:t>
            </w:r>
            <w:r w:rsidRPr="006A655F">
              <w:rPr>
                <w:rFonts w:ascii="Arial" w:hAnsi="Arial" w:cs="Arial"/>
                <w:b/>
                <w:sz w:val="16"/>
                <w:szCs w:val="16"/>
              </w:rPr>
              <w:br/>
              <w:t>Investigación en 347.85 hectáreas en aras de confirmar o rechazar la sospecha de contaminación de suelos y aguas subterráneas por sustancias peligrosas, en un total de 1.4 hectáreas se implementaron sistemas de remediación in situ, en las localidades mencionadas.</w:t>
            </w:r>
            <w:r w:rsidRPr="006A655F">
              <w:rPr>
                <w:rFonts w:ascii="Arial" w:hAnsi="Arial" w:cs="Arial"/>
                <w:b/>
                <w:sz w:val="16"/>
                <w:szCs w:val="16"/>
              </w:rPr>
              <w:br/>
              <w:t>Establecimiento de lineamientos técnicos a 70 predios, para el adecuado desmantelamiento de las Instalaciones con la finalidad de evitar la generación de pasivos ambientales en el momento del abandono, traslado o cierre de las actividades industriales o de servicios.</w:t>
            </w:r>
            <w:r w:rsidRPr="006A655F">
              <w:rPr>
                <w:rFonts w:ascii="Arial" w:hAnsi="Arial" w:cs="Arial"/>
                <w:b/>
                <w:sz w:val="16"/>
                <w:szCs w:val="16"/>
              </w:rPr>
              <w:br/>
              <w:t xml:space="preserve">Generación de los valores de referencia (concentración máxima permisible) para la ciudad de Bogotá para establecer los Límites Genéricos Basados en riesgos específicos para el recurso suelo de 120 sustancias peligrosas para usos de suelo residencial e industrial, así </w:t>
            </w:r>
            <w:r w:rsidRPr="006A655F">
              <w:rPr>
                <w:rFonts w:ascii="Arial" w:hAnsi="Arial" w:cs="Arial"/>
                <w:b/>
                <w:sz w:val="16"/>
                <w:szCs w:val="16"/>
              </w:rPr>
              <w:lastRenderedPageBreak/>
              <w:t>como una macro que permite realizar cálculos de concentraciones máximas permisibles específicas para cada sitio.</w:t>
            </w:r>
            <w:r w:rsidRPr="006A655F">
              <w:rPr>
                <w:rFonts w:ascii="Arial" w:hAnsi="Arial" w:cs="Arial"/>
                <w:b/>
                <w:sz w:val="16"/>
                <w:szCs w:val="16"/>
              </w:rPr>
              <w:br/>
              <w:t>Implementación de la metodología de identificación de sitios con sospecha de contaminación de suelos que se localizan en el polígono del denominado Anillo de Innovación se realizaron las visitas de reconocimiento a los predios que conformaban la muestra representativa con un intervalo de confianza del 95%, se seleccionaron aquellos con mayor potencial de sospecha y se realizaron los muestreos de suelos para descartar o confirmar la afectación negativa del recurso</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Calidad del Agua y Regulación Hidrológica</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Las labores de estudio e investigación de las condiciones que pueden afectar el suelo (y su relación con cuerpos de agua superficial y subterránea) se relaciona de manera complementaria con el propósito de mejoramiento de la calidad hídrica de los cuerpos de agua, al prevenir, mitigar y controlar aquellas actividades y condiciones que se constituyen en potencial de contaminación o daño al recurso hídrico.</w:t>
            </w:r>
            <w:r w:rsidRPr="006A655F">
              <w:rPr>
                <w:rFonts w:ascii="Arial" w:hAnsi="Arial" w:cs="Arial"/>
                <w:b/>
                <w:sz w:val="16"/>
                <w:szCs w:val="16"/>
              </w:rPr>
              <w:br/>
              <w:t>En consecuencia, conserva coherencia con la estrategia de control y vigilancia y con el objetivo de calidad del agua y regulación hídrica.</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690/2015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686/2015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442/2015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526/2015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869/2015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Emisión en versión final de los Términos de Referencia TR para la elaboración del PMRRA El equipo técnico y jurídico de control a la minería presentó la version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1080/2015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522/2015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Emisión en versión final de los Términos de Referencia TR para la elaboración del PMRRA El equipo técnico y jurídico de control a la minería presentó la version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528/2015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723/2015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728/2015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Emisión en versión final de los Términos de Referencia TR para la elaboración del PMRRA El equipo técnico y jurídico de control a la minería presentó la version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708/2015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Emisión en versión final de los Términos de Referencia TR para la elaboración del PMRRA El equipo técnico y jurídico de control a la minería presentó la version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586/2015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desarrollo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Emisión en versión final de los Términos de Referencia TR para la elaboración del PMRRA El equipo técnico y jurídico de control a la minería presentó la version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566/2015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747/2015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436/2015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830/2015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671/2015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873/2015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430/2015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692/2015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908/2015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w:t>
            </w:r>
            <w:r w:rsidR="00335235" w:rsidRPr="006A655F">
              <w:rPr>
                <w:rFonts w:ascii="Arial" w:hAnsi="Arial" w:cs="Arial"/>
                <w:b/>
                <w:sz w:val="16"/>
                <w:szCs w:val="16"/>
              </w:rPr>
              <w:t>desarrolló</w:t>
            </w:r>
            <w:r w:rsidRPr="006A655F">
              <w:rPr>
                <w:rFonts w:ascii="Arial" w:hAnsi="Arial" w:cs="Arial"/>
                <w:b/>
                <w:sz w:val="16"/>
                <w:szCs w:val="16"/>
              </w:rPr>
              <w:t xml:space="preserve">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 xml:space="preserve">Emisión en versión final de los Términos de Referencia TR para la elaboración del PMRRA El equipo técnico y jurídico de control a la minería presentó la </w:t>
            </w:r>
            <w:r w:rsidR="00335235" w:rsidRPr="006A655F">
              <w:rPr>
                <w:rFonts w:ascii="Arial" w:hAnsi="Arial" w:cs="Arial"/>
                <w:b/>
                <w:sz w:val="16"/>
                <w:szCs w:val="16"/>
              </w:rPr>
              <w:t>versión</w:t>
            </w:r>
            <w:r w:rsidRPr="006A655F">
              <w:rPr>
                <w:rFonts w:ascii="Arial" w:hAnsi="Arial" w:cs="Arial"/>
                <w:b/>
                <w:sz w:val="16"/>
                <w:szCs w:val="16"/>
              </w:rPr>
              <w:t xml:space="preserve">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El control a las actividades de explotación minera permite vigilar las condiciones y características de las explotaciones vigentes y busca el cumplimiento de los condicionamientos establecidos en los instrumentos de gestión ambiental en aquellos predios donde la actividad se desarrollo y actualmente se encuentra inactiva. Los fines de esta actividad se centran en la regulación y control de las áreas donde se ejecuta la </w:t>
            </w:r>
            <w:r w:rsidR="00335235" w:rsidRPr="006A655F">
              <w:rPr>
                <w:rFonts w:ascii="Arial" w:hAnsi="Arial" w:cs="Arial"/>
                <w:b/>
                <w:sz w:val="16"/>
                <w:szCs w:val="16"/>
              </w:rPr>
              <w:t>explotación</w:t>
            </w:r>
            <w:r w:rsidRPr="006A655F">
              <w:rPr>
                <w:rFonts w:ascii="Arial" w:hAnsi="Arial" w:cs="Arial"/>
                <w:b/>
                <w:sz w:val="16"/>
                <w:szCs w:val="16"/>
              </w:rPr>
              <w:t xml:space="preserve">, sin permitir su expansión, la estabilización geomorfológica, recuperación del suelo y restitución de condiciones ambientales para la flora, fauna y recurso hídrico en el área afectada. De esta manera se cumple de manera directa la meta de </w:t>
            </w:r>
            <w:r w:rsidR="00335235" w:rsidRPr="006A655F">
              <w:rPr>
                <w:rFonts w:ascii="Arial" w:hAnsi="Arial" w:cs="Arial"/>
                <w:b/>
                <w:sz w:val="16"/>
                <w:szCs w:val="16"/>
              </w:rPr>
              <w:t>seguimiento</w:t>
            </w:r>
            <w:r w:rsidRPr="006A655F">
              <w:rPr>
                <w:rFonts w:ascii="Arial" w:hAnsi="Arial" w:cs="Arial"/>
                <w:b/>
                <w:sz w:val="16"/>
                <w:szCs w:val="16"/>
              </w:rPr>
              <w:t>,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r w:rsidR="00001760" w:rsidRPr="006A655F" w:rsidTr="00001760">
        <w:trPr>
          <w:trHeight w:val="5175"/>
        </w:trPr>
        <w:tc>
          <w:tcPr>
            <w:tcW w:w="1454"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lastRenderedPageBreak/>
              <w:t>820</w:t>
            </w:r>
          </w:p>
        </w:tc>
        <w:tc>
          <w:tcPr>
            <w:tcW w:w="1855" w:type="dxa"/>
            <w:hideMark/>
          </w:tcPr>
          <w:p w:rsidR="00001760" w:rsidRPr="006A655F" w:rsidRDefault="00001760" w:rsidP="00001760">
            <w:pPr>
              <w:rPr>
                <w:rFonts w:ascii="Arial" w:hAnsi="Arial" w:cs="Arial"/>
                <w:b/>
                <w:sz w:val="16"/>
                <w:szCs w:val="16"/>
              </w:rPr>
            </w:pPr>
            <w:r w:rsidRPr="006A655F">
              <w:rPr>
                <w:rFonts w:ascii="Arial" w:hAnsi="Arial" w:cs="Arial"/>
                <w:b/>
                <w:sz w:val="16"/>
                <w:szCs w:val="16"/>
              </w:rPr>
              <w:t>309_Seguimiento, control y vigilancia mediante actuaciones administrativas al 100% de los predios mineros y de las áreas de recuperación ambiental en el perímetro urbano</w:t>
            </w:r>
          </w:p>
        </w:tc>
        <w:tc>
          <w:tcPr>
            <w:tcW w:w="2141"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Controlar 109 predios con actividad minera en el D. C., mediante seguimiento y evaluación ambiental</w:t>
            </w:r>
          </w:p>
        </w:tc>
        <w:tc>
          <w:tcPr>
            <w:tcW w:w="3917"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 xml:space="preserve">Del inventario de 109 predios afectados por minería que cuenta la SDA, los predios denominados Cantera Santa Rita - Sector Cerros del Diamante y Cantera Santa Rita -Sector Ismael Perdomo fueron archivados y remitidos al IDIGER por ser la autoridad competente por medio del Auto AUTO 853 del  31/01/2014. Por lo cual, las actividades de control y evaluación se centran en los 107 predios y organizaciones mineras y los dos restantes son objeto de seguimiento. </w:t>
            </w:r>
            <w:r w:rsidRPr="006A655F">
              <w:rPr>
                <w:rFonts w:ascii="Arial" w:hAnsi="Arial" w:cs="Arial"/>
                <w:b/>
                <w:sz w:val="16"/>
                <w:szCs w:val="16"/>
              </w:rPr>
              <w:br/>
              <w:t xml:space="preserve">- Seguimiento a 3 Planes de Manejo Ambiental PMA - Usme.  </w:t>
            </w:r>
            <w:r w:rsidRPr="006A655F">
              <w:rPr>
                <w:rFonts w:ascii="Arial" w:hAnsi="Arial" w:cs="Arial"/>
                <w:b/>
                <w:sz w:val="16"/>
                <w:szCs w:val="16"/>
              </w:rPr>
              <w:br/>
              <w:t>- Evaluación de (8) Planes de Manejo, Recuperación o Restauración Ambiental – PMRRA y Seguimiento a 7 y evaluación de 1 PMRRA</w:t>
            </w:r>
            <w:r w:rsidRPr="006A655F">
              <w:rPr>
                <w:rFonts w:ascii="Arial" w:hAnsi="Arial" w:cs="Arial"/>
                <w:b/>
                <w:sz w:val="16"/>
                <w:szCs w:val="16"/>
              </w:rPr>
              <w:br/>
              <w:t>Control ambiental a  90 organizaciones con predios afectados por actividad extractiva de materiales de construcción y arcilla que no cuentan con Instrumento Administrativo de Manejo y Control Ambiental. (PMA o PMRRA). Ciudad Bolívar 23, Usme 31, San Cristóbal 12, Rafael Uribe Uribe 16, Usaquén 7 y Santa Fe 1</w:t>
            </w:r>
            <w:r w:rsidRPr="006A655F">
              <w:rPr>
                <w:rFonts w:ascii="Arial" w:hAnsi="Arial" w:cs="Arial"/>
                <w:b/>
                <w:sz w:val="16"/>
                <w:szCs w:val="16"/>
              </w:rPr>
              <w:br/>
              <w:t xml:space="preserve">Ejecución de un operativo de control ambiental a los Frentes denominados Marín Vieco, La Esmeralda, NN1 y Predio La Azotea que se encuentran por fuera del área del Contrato de Concesión Minera 15558 de Canteras Unidas La Esmeralda, con imposición de medida preventiva </w:t>
            </w:r>
            <w:r w:rsidRPr="006A655F">
              <w:rPr>
                <w:rFonts w:ascii="Arial" w:hAnsi="Arial" w:cs="Arial"/>
                <w:b/>
                <w:sz w:val="16"/>
                <w:szCs w:val="16"/>
              </w:rPr>
              <w:lastRenderedPageBreak/>
              <w:t>de suspensión 0553 y 0554 del 2015.</w:t>
            </w:r>
            <w:r w:rsidRPr="006A655F">
              <w:rPr>
                <w:rFonts w:ascii="Arial" w:hAnsi="Arial" w:cs="Arial"/>
                <w:b/>
                <w:sz w:val="16"/>
                <w:szCs w:val="16"/>
              </w:rPr>
              <w:br/>
              <w:t>Levantamientos topográficos: se realizaron 107 levantamientos a organizaciones con predios afectados por actividad extractiva de materiales de construcción y arcilla,  de los cuales 5 organizaciones de Usme y Ciudad Bolívar, de área reconformada morfológica y recuperada o restaurada ambientalmente de 7,2 ha., 6 levantamientos topográficos a organizaciones con PMRRA evaluados y Levantamiento topográfico a 4 organizaciones de seguimiento a PMRRA en Usaquén y de un PMA en el Predio Cantarrana (Localidad de Usme)</w:t>
            </w:r>
            <w:r w:rsidRPr="006A655F">
              <w:rPr>
                <w:rFonts w:ascii="Arial" w:hAnsi="Arial" w:cs="Arial"/>
                <w:b/>
                <w:sz w:val="16"/>
                <w:szCs w:val="16"/>
              </w:rPr>
              <w:br/>
              <w:t>Se  emitieron cincuenta 50 procesos administrativos  sancionatorios de carácter ambiental  (8 resoluciones y 42 Autos)</w:t>
            </w:r>
            <w:r w:rsidRPr="006A655F">
              <w:rPr>
                <w:rFonts w:ascii="Arial" w:hAnsi="Arial" w:cs="Arial"/>
                <w:b/>
                <w:sz w:val="16"/>
                <w:szCs w:val="16"/>
              </w:rPr>
              <w:br/>
              <w:t xml:space="preserve">Se emitieron cuarenta y un (41) procesos administrativos permisivos de carácter ambiental. </w:t>
            </w:r>
            <w:r w:rsidRPr="006A655F">
              <w:rPr>
                <w:rFonts w:ascii="Arial" w:hAnsi="Arial" w:cs="Arial"/>
                <w:b/>
                <w:sz w:val="16"/>
                <w:szCs w:val="16"/>
              </w:rPr>
              <w:br/>
              <w:t>Emisión en versión final de los Términos de Referencia TR para la elaboración del PMRRA El equipo técnico y jurídico de control a la minería presentó la versión de actualización de los Términos de Referencia para la presentación de PMRRA, los cuales pasan a la fase de actualización y formalización del respectivo procedimiento por la Subsecretaría General.</w:t>
            </w:r>
          </w:p>
        </w:tc>
        <w:tc>
          <w:tcPr>
            <w:tcW w:w="135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lastRenderedPageBreak/>
              <w:t xml:space="preserve">Calidad del Suelo </w:t>
            </w:r>
          </w:p>
        </w:tc>
        <w:tc>
          <w:tcPr>
            <w:tcW w:w="1349"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Control y Vigilancia</w:t>
            </w:r>
          </w:p>
        </w:tc>
        <w:tc>
          <w:tcPr>
            <w:tcW w:w="2380"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1440/2015</w:t>
            </w:r>
          </w:p>
        </w:tc>
        <w:tc>
          <w:tcPr>
            <w:tcW w:w="3314" w:type="dxa"/>
            <w:hideMark/>
          </w:tcPr>
          <w:p w:rsidR="00001760" w:rsidRPr="006A655F" w:rsidRDefault="00001760" w:rsidP="00001760">
            <w:pPr>
              <w:jc w:val="both"/>
              <w:rPr>
                <w:rFonts w:ascii="Arial" w:hAnsi="Arial" w:cs="Arial"/>
                <w:b/>
                <w:sz w:val="16"/>
                <w:szCs w:val="16"/>
              </w:rPr>
            </w:pPr>
            <w:r w:rsidRPr="006A655F">
              <w:rPr>
                <w:rFonts w:ascii="Arial" w:hAnsi="Arial" w:cs="Arial"/>
                <w:b/>
                <w:sz w:val="16"/>
                <w:szCs w:val="16"/>
              </w:rPr>
              <w:t>El control a las actividades de explotación minera permite vigilar las condiciones y características de las explotaciones vigentes y busca el cumplimiento de los condicionamientos establecidos en los instrumentos de gestión ambiental en aquellos predios donde la actividad se desarrollo y actualmente se encuentra inactiva. Los fines de esta actividad se centran en la regulación y control de las áreas donde se ejecuta la explotacion, sin permitir su expansión, la estabilización geomorfológica, recuperación del suelo y restitución de condiciones ambientales para la flora, fauna y recurso hídrico en el área afectada. De esta manera se cumple de manera directa la meta de eguimiento, control y vigilancia mediante actuaciones administrativas al 100% de los predios mineros y de las áreas de recuperación ambiental en el perímetro urbano.</w:t>
            </w:r>
            <w:r w:rsidRPr="006A655F">
              <w:rPr>
                <w:rFonts w:ascii="Arial" w:hAnsi="Arial" w:cs="Arial"/>
                <w:b/>
                <w:sz w:val="16"/>
                <w:szCs w:val="16"/>
              </w:rPr>
              <w:br/>
              <w:t>De igual manera, esta actividad guarda coherencia con la estrategia de control y vigilancia y con el objetivo PGA de calidad del suelo.</w:t>
            </w:r>
          </w:p>
        </w:tc>
      </w:tr>
    </w:tbl>
    <w:p w:rsidR="008D723A" w:rsidRDefault="008D723A" w:rsidP="007562F0">
      <w:pPr>
        <w:rPr>
          <w:rFonts w:ascii="Arial" w:hAnsi="Arial" w:cs="Arial"/>
          <w:b/>
        </w:rPr>
      </w:pPr>
    </w:p>
    <w:p w:rsidR="002573A3" w:rsidRDefault="002573A3" w:rsidP="007562F0">
      <w:pPr>
        <w:rPr>
          <w:rFonts w:ascii="Arial" w:hAnsi="Arial" w:cs="Arial"/>
          <w:b/>
        </w:rPr>
      </w:pPr>
    </w:p>
    <w:tbl>
      <w:tblPr>
        <w:tblStyle w:val="Tablaconcuadrcula"/>
        <w:tblW w:w="0" w:type="auto"/>
        <w:tblLook w:val="04A0" w:firstRow="1" w:lastRow="0" w:firstColumn="1" w:lastColumn="0" w:noHBand="0" w:noVBand="1"/>
      </w:tblPr>
      <w:tblGrid>
        <w:gridCol w:w="1114"/>
        <w:gridCol w:w="2370"/>
        <w:gridCol w:w="3013"/>
        <w:gridCol w:w="2712"/>
        <w:gridCol w:w="1418"/>
        <w:gridCol w:w="1417"/>
        <w:gridCol w:w="1985"/>
        <w:gridCol w:w="3543"/>
      </w:tblGrid>
      <w:tr w:rsidR="00001760" w:rsidRPr="00001760" w:rsidTr="00001760">
        <w:trPr>
          <w:trHeight w:val="549"/>
          <w:tblHeader/>
        </w:trPr>
        <w:tc>
          <w:tcPr>
            <w:tcW w:w="17572" w:type="dxa"/>
            <w:gridSpan w:val="8"/>
            <w:shd w:val="clear" w:color="auto" w:fill="FFE599" w:themeFill="accent4" w:themeFillTint="66"/>
            <w:vAlign w:val="center"/>
          </w:tcPr>
          <w:p w:rsidR="00001760" w:rsidRPr="000819FE" w:rsidRDefault="000819FE" w:rsidP="000819FE">
            <w:pPr>
              <w:jc w:val="center"/>
              <w:rPr>
                <w:rFonts w:ascii="Arial" w:hAnsi="Arial" w:cs="Arial"/>
                <w:b/>
                <w:bCs/>
                <w:sz w:val="24"/>
                <w:szCs w:val="16"/>
              </w:rPr>
            </w:pPr>
            <w:r>
              <w:rPr>
                <w:rFonts w:ascii="Arial" w:hAnsi="Arial" w:cs="Arial"/>
                <w:b/>
                <w:bCs/>
                <w:sz w:val="24"/>
                <w:szCs w:val="16"/>
              </w:rPr>
              <w:lastRenderedPageBreak/>
              <w:t xml:space="preserve">574. </w:t>
            </w:r>
            <w:r w:rsidR="00001760" w:rsidRPr="00001760">
              <w:rPr>
                <w:rFonts w:ascii="Arial" w:hAnsi="Arial" w:cs="Arial"/>
                <w:b/>
                <w:bCs/>
                <w:sz w:val="24"/>
                <w:szCs w:val="16"/>
              </w:rPr>
              <w:t>Control al deterioro ambiental en los componentes aire y paisaje.</w:t>
            </w:r>
          </w:p>
        </w:tc>
      </w:tr>
      <w:tr w:rsidR="00001760" w:rsidRPr="00001760" w:rsidTr="00001760">
        <w:trPr>
          <w:trHeight w:val="765"/>
          <w:tblHeader/>
        </w:trPr>
        <w:tc>
          <w:tcPr>
            <w:tcW w:w="1114"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PROYECTO DE INVERSIÓN</w:t>
            </w:r>
          </w:p>
        </w:tc>
        <w:tc>
          <w:tcPr>
            <w:tcW w:w="2370"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META PACA</w:t>
            </w:r>
          </w:p>
        </w:tc>
        <w:tc>
          <w:tcPr>
            <w:tcW w:w="3013"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ACTIVIDADES PROGRAMADAS</w:t>
            </w:r>
          </w:p>
        </w:tc>
        <w:tc>
          <w:tcPr>
            <w:tcW w:w="2712"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ACTIVIDADES EJECUTADAS</w:t>
            </w:r>
          </w:p>
        </w:tc>
        <w:tc>
          <w:tcPr>
            <w:tcW w:w="1418" w:type="dxa"/>
            <w:shd w:val="clear" w:color="auto" w:fill="FFE599" w:themeFill="accent4" w:themeFillTint="66"/>
            <w:vAlign w:val="center"/>
          </w:tcPr>
          <w:p w:rsidR="00001760" w:rsidRDefault="00001760" w:rsidP="00001760">
            <w:pPr>
              <w:jc w:val="center"/>
              <w:rPr>
                <w:rFonts w:ascii="Arial" w:hAnsi="Arial" w:cs="Arial"/>
                <w:b/>
                <w:bCs/>
                <w:sz w:val="16"/>
                <w:szCs w:val="16"/>
              </w:rPr>
            </w:pPr>
            <w:r w:rsidRPr="00001760">
              <w:rPr>
                <w:rFonts w:ascii="Arial" w:hAnsi="Arial" w:cs="Arial"/>
                <w:b/>
                <w:bCs/>
                <w:sz w:val="16"/>
                <w:szCs w:val="16"/>
              </w:rPr>
              <w:t>OBJETIVO PGA</w:t>
            </w:r>
          </w:p>
          <w:p w:rsidR="00001760" w:rsidRDefault="00001760" w:rsidP="00001760">
            <w:pPr>
              <w:rPr>
                <w:rFonts w:ascii="Arial" w:hAnsi="Arial" w:cs="Arial"/>
                <w:sz w:val="16"/>
                <w:szCs w:val="16"/>
              </w:rPr>
            </w:pPr>
          </w:p>
          <w:p w:rsidR="00001760" w:rsidRDefault="00001760" w:rsidP="00001760">
            <w:pPr>
              <w:rPr>
                <w:rFonts w:ascii="Arial" w:hAnsi="Arial" w:cs="Arial"/>
                <w:sz w:val="16"/>
                <w:szCs w:val="16"/>
              </w:rPr>
            </w:pPr>
          </w:p>
          <w:p w:rsidR="00001760" w:rsidRPr="00001760" w:rsidRDefault="00001760" w:rsidP="00001760">
            <w:pPr>
              <w:rPr>
                <w:rFonts w:ascii="Arial" w:hAnsi="Arial" w:cs="Arial"/>
                <w:sz w:val="16"/>
                <w:szCs w:val="16"/>
              </w:rPr>
            </w:pPr>
          </w:p>
        </w:tc>
        <w:tc>
          <w:tcPr>
            <w:tcW w:w="1417"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ESTRATEGIA PGA</w:t>
            </w:r>
          </w:p>
        </w:tc>
        <w:tc>
          <w:tcPr>
            <w:tcW w:w="1985"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CONTRATOS MEDIANTE LOS CUALES SE EJECUTÓ LA ACTIVIDAD</w:t>
            </w:r>
          </w:p>
        </w:tc>
        <w:tc>
          <w:tcPr>
            <w:tcW w:w="3543" w:type="dxa"/>
            <w:shd w:val="clear" w:color="auto" w:fill="FFE599" w:themeFill="accent4" w:themeFillTint="66"/>
            <w:vAlign w:val="center"/>
          </w:tcPr>
          <w:p w:rsidR="00001760" w:rsidRPr="00001760" w:rsidRDefault="00001760" w:rsidP="00001760">
            <w:pPr>
              <w:jc w:val="center"/>
              <w:rPr>
                <w:rFonts w:ascii="Arial" w:hAnsi="Arial" w:cs="Arial"/>
                <w:b/>
                <w:bCs/>
                <w:sz w:val="16"/>
                <w:szCs w:val="16"/>
              </w:rPr>
            </w:pPr>
            <w:r w:rsidRPr="00001760">
              <w:rPr>
                <w:rFonts w:ascii="Arial" w:hAnsi="Arial" w:cs="Arial"/>
                <w:b/>
                <w:bCs/>
                <w:sz w:val="16"/>
                <w:szCs w:val="16"/>
              </w:rPr>
              <w:t>COHERENCIA Y CONCORDANCIA QUE GUARDA CADA ACTIVIDAD CON LOS OBJETIVOS Y ESTRATEGIAS DEL PLAN DE GESTIÓN AMBIENTAL DEL DISTRITO CAPITAL, QUE SIRVIERON DE JUSTIFICACIÓN PARA SU INCORPORACIÓN DENTRO DE PLAN DE ACCIÓN CUATRIENAL AMBIENTAL-PACA</w:t>
            </w:r>
          </w:p>
        </w:tc>
      </w:tr>
      <w:tr w:rsidR="00001760" w:rsidRPr="00001760" w:rsidTr="00001760">
        <w:trPr>
          <w:trHeight w:val="706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Implementación de acciones tendientes a la reducción de emisiones atmosféricas de material particulado generadas por industrias que poseen fuentes fijas accionadas por combustibles sólidos y por fuentes móviles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Fuentes Fijas: </w:t>
            </w:r>
            <w:r w:rsidRPr="00001760">
              <w:rPr>
                <w:rFonts w:ascii="Arial" w:hAnsi="Arial" w:cs="Arial"/>
                <w:b/>
                <w:sz w:val="16"/>
                <w:szCs w:val="16"/>
              </w:rPr>
              <w:br/>
              <w:t xml:space="preserve"> - Se llevó a cabo una actualización del número de industrias de la ciudad por medio de visitas realizadas al sector que está presente en Puente Aranda, Tunjuelito, Kennedy, Bosa, Ciudad Bolívar, Fontibón, Engativá y Suba, siendo estas localidades las que presentan una mayor problemática de calidad del aire considerando los niveles de material particulado PM10.</w:t>
            </w:r>
            <w:r w:rsidRPr="00001760">
              <w:rPr>
                <w:rFonts w:ascii="Arial" w:hAnsi="Arial" w:cs="Arial"/>
                <w:b/>
                <w:sz w:val="16"/>
                <w:szCs w:val="16"/>
              </w:rPr>
              <w:br/>
              <w:t>-Mesa de trabajo instalada, para promover un proceso de conversión masiva a combustibles gaseosos en el sector tintorero, en la que estén involucrados todos los actores interesados.</w:t>
            </w:r>
            <w:r w:rsidRPr="00001760">
              <w:rPr>
                <w:rFonts w:ascii="Arial" w:hAnsi="Arial" w:cs="Arial"/>
                <w:b/>
                <w:sz w:val="16"/>
                <w:szCs w:val="16"/>
              </w:rPr>
              <w:br/>
              <w:t>- Informe con análisis de opciones y estrategias para mejorar el desempeño ambiental de los sectores industriales priorizados en cuanto a emisiones de Material Particulado.</w:t>
            </w:r>
            <w:r w:rsidRPr="00001760">
              <w:rPr>
                <w:rFonts w:ascii="Arial" w:hAnsi="Arial" w:cs="Arial"/>
                <w:b/>
                <w:sz w:val="16"/>
                <w:szCs w:val="16"/>
              </w:rPr>
              <w:br/>
              <w:t>- Informe con diagnóstico de disponibilidad de reservas nacionales de gas natural GN y disponibilidad de gas licuado de petróleo GLP.</w:t>
            </w:r>
            <w:r w:rsidRPr="00001760">
              <w:rPr>
                <w:rFonts w:ascii="Arial" w:hAnsi="Arial" w:cs="Arial"/>
                <w:b/>
                <w:sz w:val="16"/>
                <w:szCs w:val="16"/>
              </w:rPr>
              <w:br/>
              <w:t>- Informe con análisis de evolución del uso de sistemas de control de emisiones SCE en el sector industrial que posee fuentes fijas de emisión, enfatizando en los que tienen obligatoriedad de usarlo.</w:t>
            </w:r>
            <w:r w:rsidRPr="00001760">
              <w:rPr>
                <w:rFonts w:ascii="Arial" w:hAnsi="Arial" w:cs="Arial"/>
                <w:b/>
                <w:sz w:val="16"/>
                <w:szCs w:val="16"/>
              </w:rPr>
              <w:br/>
              <w:t xml:space="preserve">Fuentes Móviles: </w:t>
            </w:r>
            <w:r w:rsidRPr="00001760">
              <w:rPr>
                <w:rFonts w:ascii="Arial" w:hAnsi="Arial" w:cs="Arial"/>
                <w:b/>
                <w:sz w:val="16"/>
                <w:szCs w:val="16"/>
              </w:rPr>
              <w:br/>
              <w:t xml:space="preserve">- Se ha venido trabajando en la reestructuración del actual </w:t>
            </w:r>
            <w:r w:rsidRPr="00001760">
              <w:rPr>
                <w:rFonts w:ascii="Arial" w:hAnsi="Arial" w:cs="Arial"/>
                <w:b/>
                <w:sz w:val="16"/>
                <w:szCs w:val="16"/>
              </w:rPr>
              <w:lastRenderedPageBreak/>
              <w:t>“Programa de Autorregulación.</w:t>
            </w:r>
            <w:r w:rsidRPr="00001760">
              <w:rPr>
                <w:rFonts w:ascii="Arial" w:hAnsi="Arial" w:cs="Arial"/>
                <w:b/>
                <w:sz w:val="16"/>
                <w:szCs w:val="16"/>
              </w:rPr>
              <w:br/>
              <w:t>- Mediante la Resolución 646 del 14 de septiembre de 2015,  se adoptó el plan para la mitigación de emisiones de los vehículos con motor de ciclo de dos (2) tiempos que circulan en la ciudad de Bogotá 2015 – 2020.</w:t>
            </w:r>
            <w:r w:rsidRPr="00001760">
              <w:rPr>
                <w:rFonts w:ascii="Arial" w:hAnsi="Arial" w:cs="Arial"/>
                <w:b/>
                <w:sz w:val="16"/>
                <w:szCs w:val="16"/>
              </w:rPr>
              <w:br/>
              <w:t>- Se llevó a cabo el seguimiento ambiental a la implementación del SITP y el Plan de Ascenso Tecnológico PAT, mediante el análisis de diferentes tecnologías de cero o bajas emisiones las cuales entran en operación. (Indicadores de emisión y actividad); así mismo la revisión, aporte y consolidación de pliegos para la APP Bogotá eléctrica.</w:t>
            </w:r>
            <w:r w:rsidRPr="00001760">
              <w:rPr>
                <w:rFonts w:ascii="Arial" w:hAnsi="Arial" w:cs="Arial"/>
                <w:b/>
                <w:sz w:val="16"/>
                <w:szCs w:val="16"/>
              </w:rPr>
              <w:br/>
              <w:t>- Desarrollo del programa de filtros de partículas con el fin de determinar la flota final objeto de la implementación de la medida y conocer el comportamiento de los filtros en las condiciones de Bogotá. Adicionalmente se desarrollaron alianzas estratégicas con diferentes proveedores de filtros de partículas con el fin de que se articulen con la implementación del programa.</w:t>
            </w:r>
            <w:r w:rsidRPr="00001760">
              <w:rPr>
                <w:rFonts w:ascii="Arial" w:hAnsi="Arial" w:cs="Arial"/>
                <w:b/>
                <w:sz w:val="16"/>
                <w:szCs w:val="16"/>
              </w:rPr>
              <w:br/>
              <w:t>- Se realizó  el protocolo de medición a vehículos con filtros de partículas y se modificó el procedimiento de operativos de monitoreo, seguimiento y control a fuentes móviles.</w:t>
            </w:r>
            <w:r w:rsidRPr="00001760">
              <w:rPr>
                <w:rFonts w:ascii="Arial" w:hAnsi="Arial" w:cs="Arial"/>
                <w:b/>
                <w:sz w:val="16"/>
                <w:szCs w:val="16"/>
              </w:rPr>
              <w:br/>
              <w:t xml:space="preserve">- Se establecieron los escenarios de socialización a los operadores del Plan de implementación de filtros de </w:t>
            </w:r>
            <w:r w:rsidRPr="00001760">
              <w:rPr>
                <w:rFonts w:ascii="Arial" w:hAnsi="Arial" w:cs="Arial"/>
                <w:b/>
                <w:sz w:val="16"/>
                <w:szCs w:val="16"/>
              </w:rPr>
              <w:lastRenderedPageBreak/>
              <w:t>partículas con tecnologías aprobadas.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spacing w:after="160"/>
              <w:jc w:val="center"/>
              <w:rPr>
                <w:rFonts w:ascii="Arial" w:hAnsi="Arial" w:cs="Arial"/>
                <w:b/>
                <w:sz w:val="16"/>
                <w:szCs w:val="16"/>
              </w:rPr>
            </w:pPr>
            <w:r w:rsidRPr="00001760">
              <w:rPr>
                <w:rFonts w:ascii="Arial" w:hAnsi="Arial" w:cs="Arial"/>
                <w:b/>
                <w:sz w:val="16"/>
                <w:szCs w:val="16"/>
              </w:rPr>
              <w:t>189/2015</w:t>
            </w:r>
            <w:r w:rsidRPr="00001760">
              <w:rPr>
                <w:rFonts w:ascii="Arial" w:hAnsi="Arial" w:cs="Arial"/>
                <w:b/>
                <w:sz w:val="16"/>
                <w:szCs w:val="16"/>
              </w:rPr>
              <w:br/>
              <w:t>196/2015</w:t>
            </w:r>
            <w:r w:rsidRPr="00001760">
              <w:rPr>
                <w:rFonts w:ascii="Arial" w:hAnsi="Arial" w:cs="Arial"/>
                <w:b/>
                <w:sz w:val="16"/>
                <w:szCs w:val="16"/>
              </w:rPr>
              <w:br/>
              <w:t>240/2015</w:t>
            </w:r>
            <w:r w:rsidRPr="00001760">
              <w:rPr>
                <w:rFonts w:ascii="Arial" w:hAnsi="Arial" w:cs="Arial"/>
                <w:b/>
                <w:sz w:val="16"/>
                <w:szCs w:val="16"/>
              </w:rPr>
              <w:br/>
              <w:t>443/2015</w:t>
            </w:r>
            <w:r w:rsidRPr="00001760">
              <w:rPr>
                <w:rFonts w:ascii="Arial" w:hAnsi="Arial" w:cs="Arial"/>
                <w:b/>
                <w:sz w:val="16"/>
                <w:szCs w:val="16"/>
              </w:rPr>
              <w:br/>
              <w:t>626/2015</w:t>
            </w:r>
            <w:r w:rsidRPr="00001760">
              <w:rPr>
                <w:rFonts w:ascii="Arial" w:hAnsi="Arial" w:cs="Arial"/>
                <w:b/>
                <w:sz w:val="16"/>
                <w:szCs w:val="16"/>
              </w:rPr>
              <w:br/>
              <w:t>641/2015</w:t>
            </w:r>
            <w:r w:rsidRPr="00001760">
              <w:rPr>
                <w:rFonts w:ascii="Arial" w:hAnsi="Arial" w:cs="Arial"/>
                <w:b/>
                <w:sz w:val="16"/>
                <w:szCs w:val="16"/>
              </w:rPr>
              <w:br/>
              <w:t>717/2015</w:t>
            </w:r>
            <w:r w:rsidRPr="00001760">
              <w:rPr>
                <w:rFonts w:ascii="Arial" w:hAnsi="Arial" w:cs="Arial"/>
                <w:b/>
                <w:sz w:val="16"/>
                <w:szCs w:val="16"/>
              </w:rPr>
              <w:br/>
              <w:t>1122/2015</w:t>
            </w:r>
            <w:r w:rsidRPr="00001760">
              <w:rPr>
                <w:rFonts w:ascii="Arial" w:hAnsi="Arial" w:cs="Arial"/>
                <w:b/>
                <w:sz w:val="16"/>
                <w:szCs w:val="16"/>
              </w:rPr>
              <w:br/>
              <w:t>1317/2015</w:t>
            </w:r>
            <w:r w:rsidRPr="00001760">
              <w:rPr>
                <w:rFonts w:ascii="Arial" w:hAnsi="Arial" w:cs="Arial"/>
                <w:b/>
                <w:sz w:val="16"/>
                <w:szCs w:val="16"/>
              </w:rPr>
              <w:br/>
              <w:t>1320/2015</w:t>
            </w:r>
            <w:r w:rsidRPr="00001760">
              <w:rPr>
                <w:rFonts w:ascii="Arial" w:hAnsi="Arial" w:cs="Arial"/>
                <w:b/>
                <w:sz w:val="16"/>
                <w:szCs w:val="16"/>
              </w:rPr>
              <w:br/>
              <w:t>1324/2015</w:t>
            </w:r>
          </w:p>
        </w:tc>
        <w:tc>
          <w:tcPr>
            <w:tcW w:w="3543" w:type="dxa"/>
            <w:hideMark/>
          </w:tcPr>
          <w:p w:rsidR="00001760" w:rsidRPr="00001760" w:rsidRDefault="00001760" w:rsidP="00001760">
            <w:pPr>
              <w:spacing w:after="160"/>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502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Desarrollo de acciones tendientes a plantear y/o implementar estrategias complementarias para la reducción de emisiones atmosféricas de material particulado, así como la identificación y gestión de fuentes de emisión y alternativas tecnológicas.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Mesa Salud Ambiente: Se suscribió el convenio 1353 de 2015 con el fin de fortalecer las acciones de la SDS y SDA en materia de calidad del aire y los impactos en salud.</w:t>
            </w:r>
            <w:r w:rsidRPr="00001760">
              <w:rPr>
                <w:rFonts w:ascii="Arial" w:hAnsi="Arial" w:cs="Arial"/>
                <w:b/>
                <w:sz w:val="16"/>
                <w:szCs w:val="16"/>
              </w:rPr>
              <w:br/>
              <w:t>Convenio AMVA-SDA: Ejecutado en un 100% y finalizado al 31 de diciembre de 2015.</w:t>
            </w:r>
            <w:r w:rsidRPr="00001760">
              <w:rPr>
                <w:rFonts w:ascii="Arial" w:hAnsi="Arial" w:cs="Arial"/>
                <w:b/>
                <w:sz w:val="16"/>
                <w:szCs w:val="16"/>
              </w:rPr>
              <w:br/>
              <w:t>Convenio Ecopetrol-SDA: Se suscribió el convenio 1341 de 2015, durante el año se llevaron a cabo reuniones internas para establecer responsabilidades y establecer acciones en el plan de acción que construido en conjunto con Ecopetrol.</w:t>
            </w:r>
            <w:r w:rsidRPr="00001760">
              <w:rPr>
                <w:rFonts w:ascii="Arial" w:hAnsi="Arial" w:cs="Arial"/>
                <w:b/>
                <w:sz w:val="16"/>
                <w:szCs w:val="16"/>
              </w:rPr>
              <w:br/>
              <w:t xml:space="preserve">Mesa Regional de Calidad del Aire: En el ejercicio de la secretaría técnica de la mesa, se cumplió con el desarrollo operativo de las 4 mesas realizadas durante el año, la cual contó con la participación de los municipios de la región, adicionalmente se trabajó en conjunto con el MADS y la CAR en el desarrollo de 4 reuniones operativitas las cuales permitieron materializar las acciones propuestas en las Mesas Regionales. </w:t>
            </w:r>
            <w:r w:rsidRPr="00001760">
              <w:rPr>
                <w:rFonts w:ascii="Arial" w:hAnsi="Arial" w:cs="Arial"/>
                <w:b/>
                <w:sz w:val="16"/>
                <w:szCs w:val="16"/>
              </w:rPr>
              <w:br/>
            </w:r>
            <w:r w:rsidRPr="00001760">
              <w:rPr>
                <w:rFonts w:ascii="Arial" w:hAnsi="Arial" w:cs="Arial"/>
                <w:b/>
                <w:sz w:val="16"/>
                <w:szCs w:val="16"/>
              </w:rPr>
              <w:lastRenderedPageBreak/>
              <w:t xml:space="preserve">Vehículos livianos (Taxis): Se continuó con el apoyo técnico desde la visión ambiental del proyecto de taxis eléctricas, entendido como el análisis de eficiencia energética, rendimiento y operación de dichos vehículos. Durante el 2015 se trabajó arduamente por la política de masificación de </w:t>
            </w:r>
            <w:proofErr w:type="gramStart"/>
            <w:r w:rsidRPr="00001760">
              <w:rPr>
                <w:rFonts w:ascii="Arial" w:hAnsi="Arial" w:cs="Arial"/>
                <w:b/>
                <w:sz w:val="16"/>
                <w:szCs w:val="16"/>
              </w:rPr>
              <w:t>los taxis eléctricos</w:t>
            </w:r>
            <w:proofErr w:type="gramEnd"/>
            <w:r w:rsidRPr="00001760">
              <w:rPr>
                <w:rFonts w:ascii="Arial" w:hAnsi="Arial" w:cs="Arial"/>
                <w:b/>
                <w:sz w:val="16"/>
                <w:szCs w:val="16"/>
              </w:rPr>
              <w:t xml:space="preserve"> lo que hace a la SDA un actor importante y necesario en la política de movilidad sostenible de Bogotá. </w:t>
            </w:r>
            <w:r w:rsidRPr="00001760">
              <w:rPr>
                <w:rFonts w:ascii="Arial" w:hAnsi="Arial" w:cs="Arial"/>
                <w:b/>
                <w:sz w:val="16"/>
                <w:szCs w:val="16"/>
              </w:rPr>
              <w:br/>
              <w:t xml:space="preserve">PM Resuspendido: Se realizó la estimación del inventario de material particulado resuspendido en la ciudad (PM10 y PM2.5) como parte de las estrategias para conocer otras fuentes de emisión con gran aporte en las emisiones totales de PM. Adicionalmente la SDA trabajo intersectorialmente a fin de generar estrategias que permitan la reducción de este PM específicamente en la Zona Sur occidente. </w:t>
            </w:r>
            <w:r w:rsidRPr="00001760">
              <w:rPr>
                <w:rFonts w:ascii="Arial" w:hAnsi="Arial" w:cs="Arial"/>
                <w:b/>
                <w:sz w:val="16"/>
                <w:szCs w:val="16"/>
              </w:rPr>
              <w:br/>
              <w:t xml:space="preserve">Ecoconducción: Se continuó con el desarrollo del programa de capacitación a conductores de las entidades PIGA, </w:t>
            </w:r>
            <w:r w:rsidRPr="00001760">
              <w:rPr>
                <w:rFonts w:ascii="Arial" w:hAnsi="Arial" w:cs="Arial"/>
                <w:b/>
                <w:sz w:val="16"/>
                <w:szCs w:val="16"/>
              </w:rPr>
              <w:lastRenderedPageBreak/>
              <w:t xml:space="preserve">finalizando el año alcanzó un total de 29 entidades capacitadas con la asistencia de 112 conductores. Adicionalmente se estructuró la estrategia para el transporte de carga así como los lineamientos orientadores para los Centros de Enseñanza Automovilística. </w:t>
            </w:r>
            <w:r w:rsidRPr="00001760">
              <w:rPr>
                <w:rFonts w:ascii="Arial" w:hAnsi="Arial" w:cs="Arial"/>
                <w:b/>
                <w:sz w:val="16"/>
                <w:szCs w:val="16"/>
              </w:rPr>
              <w:br/>
              <w:t>Socialización Plan Decenal: Durante el año se llevaron a cabo 7 escenarios de socialización del PDDAB los cuales contaron con 491 asistentes.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786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Diseño de estrategias complementarias para las actividades de seguimiento y control de emisiones atmosféricas por fuentes fijas y móviles, así como el desarrollo de procesos de revisión normativa y de actualización de inventarios de emisiones.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Evaluación Plan Decenal: Se desarrolló un documento técnico que detalla el estado actual de la implementación de las medidas priorizadas y complementarias del PDDAB, el cual servirá como soporte para la evaluación del Plan Decenal. </w:t>
            </w:r>
            <w:r w:rsidRPr="00001760">
              <w:rPr>
                <w:rFonts w:ascii="Arial" w:hAnsi="Arial" w:cs="Arial"/>
                <w:b/>
                <w:sz w:val="16"/>
                <w:szCs w:val="16"/>
              </w:rPr>
              <w:br/>
              <w:t xml:space="preserve">Actualización Inventario de emisiones: se llevó a cabo la actualización del Inventario de Emisiones de fuentes móviles a 2014 y de fijas a 2014. </w:t>
            </w:r>
            <w:r w:rsidRPr="00001760">
              <w:rPr>
                <w:rFonts w:ascii="Arial" w:hAnsi="Arial" w:cs="Arial"/>
                <w:b/>
                <w:sz w:val="16"/>
                <w:szCs w:val="16"/>
              </w:rPr>
              <w:br/>
              <w:t>Decreto 923 de 2011: Durante el año se proyectó el informe técnico para la modificación del Decreto 623 de 2011.</w:t>
            </w:r>
            <w:r w:rsidRPr="00001760">
              <w:rPr>
                <w:rFonts w:ascii="Arial" w:hAnsi="Arial" w:cs="Arial"/>
                <w:b/>
                <w:sz w:val="16"/>
                <w:szCs w:val="16"/>
              </w:rPr>
              <w:br/>
              <w:t>Medición por exposición Nano partículas: Se desarrollaron mediciones en espacios blancos de la ciudad, se llevó a cabo el piloto para línea base de la exposición personal a nano partículas en la Avenida Caracas, se estructuró y se iniciaron mediciones de exposición personal a nano partículas en 4 corredores viales de una misma zona de la localidad de chapinero y finalmente se realizó un estudio liderado por la academia referente a la exposición personal en diferentes modos de transporte (nano partículas, PM 4, PM2.5, CO, BC).</w:t>
            </w:r>
            <w:r w:rsidRPr="00001760">
              <w:rPr>
                <w:rFonts w:ascii="Arial" w:hAnsi="Arial" w:cs="Arial"/>
                <w:b/>
                <w:sz w:val="16"/>
                <w:szCs w:val="16"/>
              </w:rPr>
              <w:br/>
              <w:t xml:space="preserve">Seguimiento y control emisiones no visibles: Se generaron los primeros 13 reportes de medición de nano partículas según Resolución 123 de 2015 como apoyo al seguimiento de 3 filtros de partículas instalados </w:t>
            </w:r>
            <w:r w:rsidRPr="00001760">
              <w:rPr>
                <w:rFonts w:ascii="Arial" w:hAnsi="Arial" w:cs="Arial"/>
                <w:b/>
                <w:sz w:val="16"/>
                <w:szCs w:val="16"/>
              </w:rPr>
              <w:lastRenderedPageBreak/>
              <w:t xml:space="preserve">en los buses troncales. Se llevó a cabo la campaña de medición de nano partículas se midieron  las tecnologías EURO II, EURO II+DPF, EURO III, EUROIII+DPF, EURO IV y EURO V disponibles en el componente troncal a 57 buses, adicional a lo anterior,  se probaron diferentes tecnologías de equipos de medición de emisiones de PM durante esta campaña. </w:t>
            </w:r>
            <w:r w:rsidRPr="00001760">
              <w:rPr>
                <w:rFonts w:ascii="Arial" w:hAnsi="Arial" w:cs="Arial"/>
                <w:b/>
                <w:sz w:val="16"/>
                <w:szCs w:val="16"/>
              </w:rPr>
              <w:br/>
              <w:t>Estrategia de control al SITP: Se estructuró el documento técnico, a partir del conocimiento de: los sistemas de control de emisiones, las nuevas tecnologías en equipos de medición, la evaluación de la medición directa de contaminantes en el sistema de escape de los vehículos, la evaluación de vehículos a condiciones reales de operación (pruebas dinámicas), así como también la estructuración del seguimiento ambiental a partir del Sistema de Diagnóstico a Bordo – OBD.</w:t>
            </w:r>
            <w:r w:rsidRPr="00001760">
              <w:rPr>
                <w:rFonts w:ascii="Arial" w:hAnsi="Arial" w:cs="Arial"/>
                <w:b/>
                <w:sz w:val="16"/>
                <w:szCs w:val="16"/>
              </w:rPr>
              <w:br/>
              <w:t xml:space="preserve">Nuevo Programa de Autorregulación en carga: Se estructuraron las estrategias que darán forma al nuevo programa de autorregulación ambiental para el sector de carga. </w:t>
            </w:r>
            <w:r w:rsidRPr="00001760">
              <w:rPr>
                <w:rFonts w:ascii="Arial" w:hAnsi="Arial" w:cs="Arial"/>
                <w:b/>
                <w:sz w:val="16"/>
                <w:szCs w:val="16"/>
              </w:rPr>
              <w:br/>
              <w:t>Factores de Emisión fuentes fijas: Se realizó un documento con el análisis de factores de emisión para fuentes fijas.</w:t>
            </w:r>
            <w:r w:rsidRPr="00001760">
              <w:rPr>
                <w:rFonts w:ascii="Arial" w:hAnsi="Arial" w:cs="Arial"/>
                <w:b/>
                <w:sz w:val="16"/>
                <w:szCs w:val="16"/>
              </w:rPr>
              <w:br/>
              <w:t xml:space="preserve">Convenio (TMSA, SDA, SDM): Se llevó a cabo el desarrollo del convenio No. 1849 del 2013 en un 100%, de acuerdo con lo </w:t>
            </w:r>
            <w:r w:rsidRPr="00001760">
              <w:rPr>
                <w:rFonts w:ascii="Arial" w:hAnsi="Arial" w:cs="Arial"/>
                <w:b/>
                <w:sz w:val="16"/>
                <w:szCs w:val="16"/>
              </w:rPr>
              <w:lastRenderedPageBreak/>
              <w:t>proyectado en el plan de acción para el presente año, producto de lo anterior se proyectó el plan de acción para el año 2016.</w:t>
            </w:r>
            <w:r w:rsidRPr="00001760">
              <w:rPr>
                <w:rFonts w:ascii="Arial" w:hAnsi="Arial" w:cs="Arial"/>
                <w:b/>
                <w:sz w:val="16"/>
                <w:szCs w:val="16"/>
              </w:rPr>
              <w:br/>
              <w:t>Seguimiento y control a fuentes fijas: Se generó la base de datos e imágenes de ubicación para las localidades de Bosa, Kennedy, Puente Aranda, Tunjuelito, Ciudad Bolívar, Fontibón, Engativá y Suba, con objeto de realizar las visitas de seguimiento y control a fuentes fijas industriales.</w:t>
            </w:r>
            <w:r w:rsidRPr="00001760">
              <w:rPr>
                <w:rFonts w:ascii="Arial" w:hAnsi="Arial" w:cs="Arial"/>
                <w:b/>
                <w:sz w:val="16"/>
                <w:szCs w:val="16"/>
              </w:rPr>
              <w:br/>
              <w:t>Plan de Intervención Zona Sur occidente: Plan de intervención Zona Sur occidente PIZSO: Surge de la necesidad de establecer estrategias de mitigación a los efectos negativos generados a la calidad del aire en  las localidades de Puente Aranda, Kennedy, Bosa, Ciudad Bolívar y Tunjuelito; ejercicio que tuvo el aval del Alcalde Mayor de Bogotá; la construcción e implementación estuvo en cabeza de la Secretaria Distrital de Ambiente, a su vez contó con la participación y la interacción de instituciones de nivel distrital y municipal, a fin de gestionar la calidad del aire del sur occidente de la ciudad; fortaleciendo las acciones interadministrativas que el distrito desarrolla en la zona de atención</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31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Mantenimiento preventivo y correctivo de los equipos de medición y su respectivo seguimiento (PM10, PM2.5, SO2, NOx, CO, CO2, HC, O3, temperatura, precipitación, radiación solar, entre otros).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Se han realizado los mantenimientos preventivos y correctivos en los equipos de la RMCAB durante el año 2015, de acuerdo a la programación de actividades del software GESTOR, el cual gestiona y programa las actividades de mantenimiento y calibración de los equipos de medición y los equipos utilitarios para el buen funcionamiento de la RMCAB.</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159/2015</w:t>
            </w:r>
            <w:r w:rsidRPr="00001760">
              <w:rPr>
                <w:rFonts w:ascii="Arial" w:hAnsi="Arial" w:cs="Arial"/>
                <w:b/>
                <w:sz w:val="16"/>
                <w:szCs w:val="16"/>
              </w:rPr>
              <w:br/>
              <w:t>160/2015</w:t>
            </w:r>
            <w:r w:rsidRPr="00001760">
              <w:rPr>
                <w:rFonts w:ascii="Arial" w:hAnsi="Arial" w:cs="Arial"/>
                <w:b/>
                <w:sz w:val="16"/>
                <w:szCs w:val="16"/>
              </w:rPr>
              <w:br/>
              <w:t>164/2015</w:t>
            </w:r>
            <w:r w:rsidRPr="00001760">
              <w:rPr>
                <w:rFonts w:ascii="Arial" w:hAnsi="Arial" w:cs="Arial"/>
                <w:b/>
                <w:sz w:val="16"/>
                <w:szCs w:val="16"/>
              </w:rPr>
              <w:br/>
              <w:t>178/2015</w:t>
            </w:r>
            <w:r w:rsidRPr="00001760">
              <w:rPr>
                <w:rFonts w:ascii="Arial" w:hAnsi="Arial" w:cs="Arial"/>
                <w:b/>
                <w:sz w:val="16"/>
                <w:szCs w:val="16"/>
              </w:rPr>
              <w:br/>
              <w:t>186/2015</w:t>
            </w:r>
            <w:r w:rsidRPr="00001760">
              <w:rPr>
                <w:rFonts w:ascii="Arial" w:hAnsi="Arial" w:cs="Arial"/>
                <w:b/>
                <w:sz w:val="16"/>
                <w:szCs w:val="16"/>
              </w:rPr>
              <w:br/>
              <w:t>319/2015</w:t>
            </w:r>
            <w:r w:rsidRPr="00001760">
              <w:rPr>
                <w:rFonts w:ascii="Arial" w:hAnsi="Arial" w:cs="Arial"/>
                <w:b/>
                <w:sz w:val="16"/>
                <w:szCs w:val="16"/>
              </w:rPr>
              <w:br/>
              <w:t>331/2015</w:t>
            </w:r>
            <w:r w:rsidRPr="00001760">
              <w:rPr>
                <w:rFonts w:ascii="Arial" w:hAnsi="Arial" w:cs="Arial"/>
                <w:b/>
                <w:sz w:val="16"/>
                <w:szCs w:val="16"/>
              </w:rPr>
              <w:br/>
              <w:t>335/2015</w:t>
            </w:r>
            <w:r w:rsidRPr="00001760">
              <w:rPr>
                <w:rFonts w:ascii="Arial" w:hAnsi="Arial" w:cs="Arial"/>
                <w:b/>
                <w:sz w:val="16"/>
                <w:szCs w:val="16"/>
              </w:rPr>
              <w:br/>
              <w:t>426/2015</w:t>
            </w:r>
            <w:r w:rsidRPr="00001760">
              <w:rPr>
                <w:rFonts w:ascii="Arial" w:hAnsi="Arial" w:cs="Arial"/>
                <w:b/>
                <w:sz w:val="16"/>
                <w:szCs w:val="16"/>
              </w:rPr>
              <w:br/>
              <w:t>563/2015</w:t>
            </w:r>
            <w:r w:rsidRPr="00001760">
              <w:rPr>
                <w:rFonts w:ascii="Arial" w:hAnsi="Arial" w:cs="Arial"/>
                <w:b/>
                <w:sz w:val="16"/>
                <w:szCs w:val="16"/>
              </w:rPr>
              <w:br/>
              <w:t>545/2015</w:t>
            </w:r>
            <w:r w:rsidRPr="00001760">
              <w:rPr>
                <w:rFonts w:ascii="Arial" w:hAnsi="Arial" w:cs="Arial"/>
                <w:b/>
                <w:sz w:val="16"/>
                <w:szCs w:val="16"/>
              </w:rPr>
              <w:br/>
              <w:t>547/2015</w:t>
            </w:r>
            <w:r w:rsidRPr="00001760">
              <w:rPr>
                <w:rFonts w:ascii="Arial" w:hAnsi="Arial" w:cs="Arial"/>
                <w:b/>
                <w:sz w:val="16"/>
                <w:szCs w:val="16"/>
              </w:rPr>
              <w:br/>
              <w:t>555/2015</w:t>
            </w:r>
            <w:r w:rsidRPr="00001760">
              <w:rPr>
                <w:rFonts w:ascii="Arial" w:hAnsi="Arial" w:cs="Arial"/>
                <w:b/>
                <w:sz w:val="16"/>
                <w:szCs w:val="16"/>
              </w:rPr>
              <w:br/>
              <w:t>624/2015</w:t>
            </w:r>
            <w:r w:rsidRPr="00001760">
              <w:rPr>
                <w:rFonts w:ascii="Arial" w:hAnsi="Arial" w:cs="Arial"/>
                <w:b/>
                <w:sz w:val="16"/>
                <w:szCs w:val="16"/>
              </w:rPr>
              <w:br/>
              <w:t>967/2015</w:t>
            </w:r>
            <w:r w:rsidRPr="00001760">
              <w:rPr>
                <w:rFonts w:ascii="Arial" w:hAnsi="Arial" w:cs="Arial"/>
                <w:b/>
                <w:sz w:val="16"/>
                <w:szCs w:val="16"/>
              </w:rPr>
              <w:br/>
              <w:t>965/2015</w:t>
            </w:r>
            <w:r w:rsidRPr="00001760">
              <w:rPr>
                <w:rFonts w:ascii="Arial" w:hAnsi="Arial" w:cs="Arial"/>
                <w:b/>
                <w:sz w:val="16"/>
                <w:szCs w:val="16"/>
              </w:rPr>
              <w:br/>
              <w:t>928/2015</w:t>
            </w:r>
            <w:r w:rsidRPr="00001760">
              <w:rPr>
                <w:rFonts w:ascii="Arial" w:hAnsi="Arial" w:cs="Arial"/>
                <w:b/>
                <w:sz w:val="16"/>
                <w:szCs w:val="16"/>
              </w:rPr>
              <w:br/>
              <w:t>1243/2015</w:t>
            </w:r>
            <w:r w:rsidRPr="00001760">
              <w:rPr>
                <w:rFonts w:ascii="Arial" w:hAnsi="Arial" w:cs="Arial"/>
                <w:b/>
                <w:sz w:val="16"/>
                <w:szCs w:val="16"/>
              </w:rPr>
              <w:br/>
              <w:t>1357/2015</w:t>
            </w:r>
            <w:r w:rsidRPr="00001760">
              <w:rPr>
                <w:rFonts w:ascii="Arial" w:hAnsi="Arial" w:cs="Arial"/>
                <w:b/>
                <w:sz w:val="16"/>
                <w:szCs w:val="16"/>
              </w:rPr>
              <w:br/>
              <w:t>1383/2015</w:t>
            </w:r>
            <w:r w:rsidRPr="00001760">
              <w:rPr>
                <w:rFonts w:ascii="Arial" w:hAnsi="Arial" w:cs="Arial"/>
                <w:b/>
                <w:sz w:val="16"/>
                <w:szCs w:val="16"/>
              </w:rPr>
              <w:br/>
              <w:t>1389/2015</w:t>
            </w:r>
            <w:r w:rsidRPr="00001760">
              <w:rPr>
                <w:rFonts w:ascii="Arial" w:hAnsi="Arial" w:cs="Arial"/>
                <w:b/>
                <w:sz w:val="16"/>
                <w:szCs w:val="16"/>
              </w:rPr>
              <w:br/>
              <w:t>1401/2015</w:t>
            </w:r>
            <w:r w:rsidRPr="00001760">
              <w:rPr>
                <w:rFonts w:ascii="Arial" w:hAnsi="Arial" w:cs="Arial"/>
                <w:b/>
                <w:sz w:val="16"/>
                <w:szCs w:val="16"/>
              </w:rPr>
              <w:br/>
              <w:t>1418/2015</w:t>
            </w:r>
            <w:r w:rsidRPr="00001760">
              <w:rPr>
                <w:rFonts w:ascii="Arial" w:hAnsi="Arial" w:cs="Arial"/>
                <w:b/>
                <w:sz w:val="16"/>
                <w:szCs w:val="16"/>
              </w:rPr>
              <w:br/>
              <w:t>1419/2015</w:t>
            </w:r>
            <w:r w:rsidRPr="00001760">
              <w:rPr>
                <w:rFonts w:ascii="Arial" w:hAnsi="Arial" w:cs="Arial"/>
                <w:b/>
                <w:sz w:val="16"/>
                <w:szCs w:val="16"/>
              </w:rPr>
              <w:br/>
            </w:r>
            <w:r w:rsidRPr="00001760">
              <w:rPr>
                <w:rFonts w:ascii="Arial" w:hAnsi="Arial" w:cs="Arial"/>
                <w:b/>
                <w:sz w:val="16"/>
                <w:szCs w:val="16"/>
              </w:rPr>
              <w:lastRenderedPageBreak/>
              <w:t>1420/2015</w:t>
            </w:r>
            <w:r w:rsidRPr="00001760">
              <w:rPr>
                <w:rFonts w:ascii="Arial" w:hAnsi="Arial" w:cs="Arial"/>
                <w:b/>
                <w:sz w:val="16"/>
                <w:szCs w:val="16"/>
              </w:rPr>
              <w:br/>
              <w:t>1423/2015</w:t>
            </w:r>
            <w:r w:rsidRPr="00001760">
              <w:rPr>
                <w:rFonts w:ascii="Arial" w:hAnsi="Arial" w:cs="Arial"/>
                <w:b/>
                <w:sz w:val="16"/>
                <w:szCs w:val="16"/>
              </w:rPr>
              <w:br/>
              <w:t>1450/2015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w:t>
            </w:r>
          </w:p>
        </w:tc>
      </w:tr>
      <w:tr w:rsidR="00001760" w:rsidRPr="00001760" w:rsidTr="00001760">
        <w:trPr>
          <w:trHeight w:val="331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Validación de Datos mensuales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Se han validado los datos capturados por los monitores disponibles en la RMCAB. La validación corresponde en promedio al 81% </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w:t>
            </w:r>
          </w:p>
        </w:tc>
      </w:tr>
      <w:tr w:rsidR="00001760" w:rsidRPr="00001760" w:rsidTr="00001760">
        <w:trPr>
          <w:trHeight w:val="331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Entrega de Informes trimestrales y anuales de la calidad del aire de Bogotá.</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Se encuentra publicado el informe anual de Calidad del Aire - 2014. </w:t>
            </w:r>
            <w:r w:rsidRPr="00001760">
              <w:rPr>
                <w:rFonts w:ascii="Arial" w:hAnsi="Arial" w:cs="Arial"/>
                <w:b/>
                <w:sz w:val="16"/>
                <w:szCs w:val="16"/>
              </w:rPr>
              <w:br/>
              <w:t xml:space="preserve">Se encuentra publicado I y II - informe trimestral de calidad del aire - 2015. </w:t>
            </w:r>
            <w:r w:rsidRPr="00001760">
              <w:rPr>
                <w:rFonts w:ascii="Arial" w:hAnsi="Arial" w:cs="Arial"/>
                <w:b/>
                <w:sz w:val="16"/>
                <w:szCs w:val="16"/>
              </w:rPr>
              <w:br/>
              <w:t>Se encuentra en revisión para publicación III-Informe trimestral de calidad del aire - 2015.</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60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Realización de visitas de seguimiento, priorizando establecimiento que cuenten con fuentes fijas que utilicen combustibles sólidos y/o requieran permiso de emisiones atmosféricas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Durante el año 2015 se realizaron Docientas cuatro (211) visitas de seguimiento en diferentes localidades del Distrito Capital, las cuales generan un Concepto Tecnico el cual sirve como soporte al área juridica para la respectiva actuación administrativa, que busca el continuo cumplimiento de la normatividad ambiental vigente en materia de emisiones atmosfericas en las diferentes industrias y/o establecimientos de comercio y/o servicio requeridos.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167/2015</w:t>
            </w:r>
            <w:r w:rsidRPr="00001760">
              <w:rPr>
                <w:rFonts w:ascii="Arial" w:hAnsi="Arial" w:cs="Arial"/>
                <w:b/>
                <w:sz w:val="16"/>
                <w:szCs w:val="16"/>
              </w:rPr>
              <w:br/>
              <w:t>208/2015</w:t>
            </w:r>
            <w:r w:rsidRPr="00001760">
              <w:rPr>
                <w:rFonts w:ascii="Arial" w:hAnsi="Arial" w:cs="Arial"/>
                <w:b/>
                <w:sz w:val="16"/>
                <w:szCs w:val="16"/>
              </w:rPr>
              <w:br/>
              <w:t>241/2015</w:t>
            </w:r>
            <w:r w:rsidRPr="00001760">
              <w:rPr>
                <w:rFonts w:ascii="Arial" w:hAnsi="Arial" w:cs="Arial"/>
                <w:b/>
                <w:sz w:val="16"/>
                <w:szCs w:val="16"/>
              </w:rPr>
              <w:br/>
              <w:t>258/2015</w:t>
            </w:r>
            <w:r w:rsidRPr="00001760">
              <w:rPr>
                <w:rFonts w:ascii="Arial" w:hAnsi="Arial" w:cs="Arial"/>
                <w:b/>
                <w:sz w:val="16"/>
                <w:szCs w:val="16"/>
              </w:rPr>
              <w:br/>
              <w:t>275/2015</w:t>
            </w:r>
            <w:r w:rsidRPr="00001760">
              <w:rPr>
                <w:rFonts w:ascii="Arial" w:hAnsi="Arial" w:cs="Arial"/>
                <w:b/>
                <w:sz w:val="16"/>
                <w:szCs w:val="16"/>
              </w:rPr>
              <w:br/>
              <w:t>297/2015</w:t>
            </w:r>
            <w:r w:rsidRPr="00001760">
              <w:rPr>
                <w:rFonts w:ascii="Arial" w:hAnsi="Arial" w:cs="Arial"/>
                <w:b/>
                <w:sz w:val="16"/>
                <w:szCs w:val="16"/>
              </w:rPr>
              <w:br/>
              <w:t>449/2015</w:t>
            </w:r>
            <w:r w:rsidRPr="00001760">
              <w:rPr>
                <w:rFonts w:ascii="Arial" w:hAnsi="Arial" w:cs="Arial"/>
                <w:b/>
                <w:sz w:val="16"/>
                <w:szCs w:val="16"/>
              </w:rPr>
              <w:br/>
              <w:t>516/2015</w:t>
            </w:r>
            <w:r w:rsidRPr="00001760">
              <w:rPr>
                <w:rFonts w:ascii="Arial" w:hAnsi="Arial" w:cs="Arial"/>
                <w:b/>
                <w:sz w:val="16"/>
                <w:szCs w:val="16"/>
              </w:rPr>
              <w:br/>
              <w:t>556/2015</w:t>
            </w:r>
            <w:r w:rsidRPr="00001760">
              <w:rPr>
                <w:rFonts w:ascii="Arial" w:hAnsi="Arial" w:cs="Arial"/>
                <w:b/>
                <w:sz w:val="16"/>
                <w:szCs w:val="16"/>
              </w:rPr>
              <w:br/>
              <w:t>557/2015</w:t>
            </w:r>
            <w:r w:rsidRPr="00001760">
              <w:rPr>
                <w:rFonts w:ascii="Arial" w:hAnsi="Arial" w:cs="Arial"/>
                <w:b/>
                <w:sz w:val="16"/>
                <w:szCs w:val="16"/>
              </w:rPr>
              <w:br/>
              <w:t>574/2015</w:t>
            </w:r>
            <w:r w:rsidRPr="00001760">
              <w:rPr>
                <w:rFonts w:ascii="Arial" w:hAnsi="Arial" w:cs="Arial"/>
                <w:b/>
                <w:sz w:val="16"/>
                <w:szCs w:val="16"/>
              </w:rPr>
              <w:br/>
              <w:t>600/2015</w:t>
            </w:r>
            <w:r w:rsidRPr="00001760">
              <w:rPr>
                <w:rFonts w:ascii="Arial" w:hAnsi="Arial" w:cs="Arial"/>
                <w:b/>
                <w:sz w:val="16"/>
                <w:szCs w:val="16"/>
              </w:rPr>
              <w:br/>
              <w:t>602/2015</w:t>
            </w:r>
            <w:r w:rsidRPr="00001760">
              <w:rPr>
                <w:rFonts w:ascii="Arial" w:hAnsi="Arial" w:cs="Arial"/>
                <w:b/>
                <w:sz w:val="16"/>
                <w:szCs w:val="16"/>
              </w:rPr>
              <w:br/>
              <w:t>609/2015</w:t>
            </w:r>
            <w:r w:rsidRPr="00001760">
              <w:rPr>
                <w:rFonts w:ascii="Arial" w:hAnsi="Arial" w:cs="Arial"/>
                <w:b/>
                <w:sz w:val="16"/>
                <w:szCs w:val="16"/>
              </w:rPr>
              <w:br/>
              <w:t>607/2015</w:t>
            </w:r>
            <w:r w:rsidRPr="00001760">
              <w:rPr>
                <w:rFonts w:ascii="Arial" w:hAnsi="Arial" w:cs="Arial"/>
                <w:b/>
                <w:sz w:val="16"/>
                <w:szCs w:val="16"/>
              </w:rPr>
              <w:br/>
              <w:t>630/2015</w:t>
            </w:r>
            <w:r w:rsidRPr="00001760">
              <w:rPr>
                <w:rFonts w:ascii="Arial" w:hAnsi="Arial" w:cs="Arial"/>
                <w:b/>
                <w:sz w:val="16"/>
                <w:szCs w:val="16"/>
              </w:rPr>
              <w:br/>
              <w:t>638/2015</w:t>
            </w:r>
            <w:r w:rsidRPr="00001760">
              <w:rPr>
                <w:rFonts w:ascii="Arial" w:hAnsi="Arial" w:cs="Arial"/>
                <w:b/>
                <w:sz w:val="16"/>
                <w:szCs w:val="16"/>
              </w:rPr>
              <w:br/>
              <w:t>694/2015</w:t>
            </w:r>
            <w:r w:rsidRPr="00001760">
              <w:rPr>
                <w:rFonts w:ascii="Arial" w:hAnsi="Arial" w:cs="Arial"/>
                <w:b/>
                <w:sz w:val="16"/>
                <w:szCs w:val="16"/>
              </w:rPr>
              <w:br/>
              <w:t>733/2015</w:t>
            </w:r>
            <w:r w:rsidRPr="00001760">
              <w:rPr>
                <w:rFonts w:ascii="Arial" w:hAnsi="Arial" w:cs="Arial"/>
                <w:b/>
                <w:sz w:val="16"/>
                <w:szCs w:val="16"/>
              </w:rPr>
              <w:br/>
              <w:t>793/2015</w:t>
            </w:r>
            <w:r w:rsidRPr="00001760">
              <w:rPr>
                <w:rFonts w:ascii="Arial" w:hAnsi="Arial" w:cs="Arial"/>
                <w:b/>
                <w:sz w:val="16"/>
                <w:szCs w:val="16"/>
              </w:rPr>
              <w:br/>
              <w:t>858/2015</w:t>
            </w:r>
            <w:r w:rsidRPr="00001760">
              <w:rPr>
                <w:rFonts w:ascii="Arial" w:hAnsi="Arial" w:cs="Arial"/>
                <w:b/>
                <w:sz w:val="16"/>
                <w:szCs w:val="16"/>
              </w:rPr>
              <w:br/>
              <w:t>872/2015</w:t>
            </w:r>
            <w:r w:rsidRPr="00001760">
              <w:rPr>
                <w:rFonts w:ascii="Arial" w:hAnsi="Arial" w:cs="Arial"/>
                <w:b/>
                <w:sz w:val="16"/>
                <w:szCs w:val="16"/>
              </w:rPr>
              <w:br/>
              <w:t>926/2015</w:t>
            </w:r>
            <w:r w:rsidRPr="00001760">
              <w:rPr>
                <w:rFonts w:ascii="Arial" w:hAnsi="Arial" w:cs="Arial"/>
                <w:b/>
                <w:sz w:val="16"/>
                <w:szCs w:val="16"/>
              </w:rPr>
              <w:br/>
              <w:t>1077/2015</w:t>
            </w:r>
            <w:r w:rsidRPr="00001760">
              <w:rPr>
                <w:rFonts w:ascii="Arial" w:hAnsi="Arial" w:cs="Arial"/>
                <w:b/>
                <w:sz w:val="16"/>
                <w:szCs w:val="16"/>
              </w:rPr>
              <w:br/>
              <w:t>1092/2015</w:t>
            </w:r>
            <w:r w:rsidRPr="00001760">
              <w:rPr>
                <w:rFonts w:ascii="Arial" w:hAnsi="Arial" w:cs="Arial"/>
                <w:b/>
                <w:sz w:val="16"/>
                <w:szCs w:val="16"/>
              </w:rPr>
              <w:br/>
              <w:t>1184/2015</w:t>
            </w:r>
            <w:r w:rsidRPr="00001760">
              <w:rPr>
                <w:rFonts w:ascii="Arial" w:hAnsi="Arial" w:cs="Arial"/>
                <w:b/>
                <w:sz w:val="16"/>
                <w:szCs w:val="16"/>
              </w:rPr>
              <w:br/>
              <w:t>1214/2015</w:t>
            </w:r>
            <w:r w:rsidRPr="00001760">
              <w:rPr>
                <w:rFonts w:ascii="Arial" w:hAnsi="Arial" w:cs="Arial"/>
                <w:b/>
                <w:sz w:val="16"/>
                <w:szCs w:val="16"/>
              </w:rPr>
              <w:br/>
              <w:t>1316/2015</w:t>
            </w:r>
            <w:r w:rsidRPr="00001760">
              <w:rPr>
                <w:rFonts w:ascii="Arial" w:hAnsi="Arial" w:cs="Arial"/>
                <w:b/>
                <w:sz w:val="16"/>
                <w:szCs w:val="16"/>
              </w:rPr>
              <w:br/>
              <w:t>1331/2015</w:t>
            </w:r>
            <w:r w:rsidRPr="00001760">
              <w:rPr>
                <w:rFonts w:ascii="Arial" w:hAnsi="Arial" w:cs="Arial"/>
                <w:b/>
                <w:sz w:val="16"/>
                <w:szCs w:val="16"/>
              </w:rPr>
              <w:br/>
              <w:t>1342/2015</w:t>
            </w:r>
            <w:r w:rsidRPr="00001760">
              <w:rPr>
                <w:rFonts w:ascii="Arial" w:hAnsi="Arial" w:cs="Arial"/>
                <w:b/>
                <w:sz w:val="16"/>
                <w:szCs w:val="16"/>
              </w:rPr>
              <w:br/>
              <w:t>1347/2015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60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el control a establecimientos  que cuenten con fuentes fijas de emisión atmosférica.</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Durante el año 2015 se han tramitado 257 Entes de Control, 389 Derechos de Petición, 1527 radicados y 1144 quejas interpuestas por la ciudadania, para un total de 3317 solicitudes.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60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Generación actuaciones técnicas y actos administrativos para el seguimiento y control a las fuentes fijas de emisión en el DC</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El grupo de Fuentes Fijas los primeros Doce (12) meses del año  2015, aprobó 1035 actuaciones técnicas, de la siguiente manera: 949 conceptos técnicos y 86 Informes técnicos. Los conceptos técnicos son el soporte emitidos sirven como fundamento jurídico para realizar las actuaciones administrativas de la entidad, con ellos se busca la continua exigencia del cumplimiento de la normatividad ambiental a los industriales y/o establecimientos de comercio y/o servicio.</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975"/>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Evaluacion, control y seguimiento de vehiculos en Operativos en via</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Operativos en vía: Durante el periodo  se han Revisado 99726   Vehículos.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140/2015</w:t>
            </w:r>
            <w:r w:rsidRPr="00001760">
              <w:rPr>
                <w:rFonts w:ascii="Arial" w:hAnsi="Arial" w:cs="Arial"/>
                <w:b/>
                <w:sz w:val="16"/>
                <w:szCs w:val="16"/>
              </w:rPr>
              <w:br/>
              <w:t>143/2015</w:t>
            </w:r>
            <w:r w:rsidRPr="00001760">
              <w:rPr>
                <w:rFonts w:ascii="Arial" w:hAnsi="Arial" w:cs="Arial"/>
                <w:b/>
                <w:sz w:val="16"/>
                <w:szCs w:val="16"/>
              </w:rPr>
              <w:br/>
              <w:t>144/2015</w:t>
            </w:r>
            <w:r w:rsidRPr="00001760">
              <w:rPr>
                <w:rFonts w:ascii="Arial" w:hAnsi="Arial" w:cs="Arial"/>
                <w:b/>
                <w:sz w:val="16"/>
                <w:szCs w:val="16"/>
              </w:rPr>
              <w:br/>
              <w:t>145/2015</w:t>
            </w:r>
            <w:r w:rsidRPr="00001760">
              <w:rPr>
                <w:rFonts w:ascii="Arial" w:hAnsi="Arial" w:cs="Arial"/>
                <w:b/>
                <w:sz w:val="16"/>
                <w:szCs w:val="16"/>
              </w:rPr>
              <w:br/>
              <w:t>148/2015</w:t>
            </w:r>
            <w:r w:rsidRPr="00001760">
              <w:rPr>
                <w:rFonts w:ascii="Arial" w:hAnsi="Arial" w:cs="Arial"/>
                <w:b/>
                <w:sz w:val="16"/>
                <w:szCs w:val="16"/>
              </w:rPr>
              <w:br/>
              <w:t>149/2015</w:t>
            </w:r>
            <w:r w:rsidRPr="00001760">
              <w:rPr>
                <w:rFonts w:ascii="Arial" w:hAnsi="Arial" w:cs="Arial"/>
                <w:b/>
                <w:sz w:val="16"/>
                <w:szCs w:val="16"/>
              </w:rPr>
              <w:br/>
              <w:t>153/2015</w:t>
            </w:r>
            <w:r w:rsidRPr="00001760">
              <w:rPr>
                <w:rFonts w:ascii="Arial" w:hAnsi="Arial" w:cs="Arial"/>
                <w:b/>
                <w:sz w:val="16"/>
                <w:szCs w:val="16"/>
              </w:rPr>
              <w:br/>
              <w:t>184/2015</w:t>
            </w:r>
            <w:r w:rsidRPr="00001760">
              <w:rPr>
                <w:rFonts w:ascii="Arial" w:hAnsi="Arial" w:cs="Arial"/>
                <w:b/>
                <w:sz w:val="16"/>
                <w:szCs w:val="16"/>
              </w:rPr>
              <w:br/>
              <w:t>199/2015</w:t>
            </w:r>
            <w:r w:rsidRPr="00001760">
              <w:rPr>
                <w:rFonts w:ascii="Arial" w:hAnsi="Arial" w:cs="Arial"/>
                <w:b/>
                <w:sz w:val="16"/>
                <w:szCs w:val="16"/>
              </w:rPr>
              <w:br/>
              <w:t>218/2015</w:t>
            </w:r>
            <w:r w:rsidRPr="00001760">
              <w:rPr>
                <w:rFonts w:ascii="Arial" w:hAnsi="Arial" w:cs="Arial"/>
                <w:b/>
                <w:sz w:val="16"/>
                <w:szCs w:val="16"/>
              </w:rPr>
              <w:br/>
              <w:t>237/2015</w:t>
            </w:r>
            <w:r w:rsidRPr="00001760">
              <w:rPr>
                <w:rFonts w:ascii="Arial" w:hAnsi="Arial" w:cs="Arial"/>
                <w:b/>
                <w:sz w:val="16"/>
                <w:szCs w:val="16"/>
              </w:rPr>
              <w:br/>
              <w:t>243/2015</w:t>
            </w:r>
            <w:r w:rsidRPr="00001760">
              <w:rPr>
                <w:rFonts w:ascii="Arial" w:hAnsi="Arial" w:cs="Arial"/>
                <w:b/>
                <w:sz w:val="16"/>
                <w:szCs w:val="16"/>
              </w:rPr>
              <w:br/>
              <w:t>244/2015</w:t>
            </w:r>
            <w:r w:rsidRPr="00001760">
              <w:rPr>
                <w:rFonts w:ascii="Arial" w:hAnsi="Arial" w:cs="Arial"/>
                <w:b/>
                <w:sz w:val="16"/>
                <w:szCs w:val="16"/>
              </w:rPr>
              <w:br/>
              <w:t>250/2015</w:t>
            </w:r>
            <w:r w:rsidRPr="00001760">
              <w:rPr>
                <w:rFonts w:ascii="Arial" w:hAnsi="Arial" w:cs="Arial"/>
                <w:b/>
                <w:sz w:val="16"/>
                <w:szCs w:val="16"/>
              </w:rPr>
              <w:br/>
              <w:t>251/2015</w:t>
            </w:r>
            <w:r w:rsidRPr="00001760">
              <w:rPr>
                <w:rFonts w:ascii="Arial" w:hAnsi="Arial" w:cs="Arial"/>
                <w:b/>
                <w:sz w:val="16"/>
                <w:szCs w:val="16"/>
              </w:rPr>
              <w:br/>
              <w:t>263/2015</w:t>
            </w:r>
            <w:r w:rsidRPr="00001760">
              <w:rPr>
                <w:rFonts w:ascii="Arial" w:hAnsi="Arial" w:cs="Arial"/>
                <w:b/>
                <w:sz w:val="16"/>
                <w:szCs w:val="16"/>
              </w:rPr>
              <w:br/>
              <w:t>300/2015</w:t>
            </w:r>
            <w:r w:rsidRPr="00001760">
              <w:rPr>
                <w:rFonts w:ascii="Arial" w:hAnsi="Arial" w:cs="Arial"/>
                <w:b/>
                <w:sz w:val="16"/>
                <w:szCs w:val="16"/>
              </w:rPr>
              <w:br/>
              <w:t>368/2015</w:t>
            </w:r>
            <w:r w:rsidRPr="00001760">
              <w:rPr>
                <w:rFonts w:ascii="Arial" w:hAnsi="Arial" w:cs="Arial"/>
                <w:b/>
                <w:sz w:val="16"/>
                <w:szCs w:val="16"/>
              </w:rPr>
              <w:br/>
              <w:t>493/2015</w:t>
            </w:r>
            <w:r w:rsidRPr="00001760">
              <w:rPr>
                <w:rFonts w:ascii="Arial" w:hAnsi="Arial" w:cs="Arial"/>
                <w:b/>
                <w:sz w:val="16"/>
                <w:szCs w:val="16"/>
              </w:rPr>
              <w:br/>
              <w:t>537/2015</w:t>
            </w:r>
            <w:r w:rsidRPr="00001760">
              <w:rPr>
                <w:rFonts w:ascii="Arial" w:hAnsi="Arial" w:cs="Arial"/>
                <w:b/>
                <w:sz w:val="16"/>
                <w:szCs w:val="16"/>
              </w:rPr>
              <w:br/>
              <w:t>541/2015</w:t>
            </w:r>
            <w:r w:rsidRPr="00001760">
              <w:rPr>
                <w:rFonts w:ascii="Arial" w:hAnsi="Arial" w:cs="Arial"/>
                <w:b/>
                <w:sz w:val="16"/>
                <w:szCs w:val="16"/>
              </w:rPr>
              <w:br/>
              <w:t>550/2015</w:t>
            </w:r>
            <w:r w:rsidRPr="00001760">
              <w:rPr>
                <w:rFonts w:ascii="Arial" w:hAnsi="Arial" w:cs="Arial"/>
                <w:b/>
                <w:sz w:val="16"/>
                <w:szCs w:val="16"/>
              </w:rPr>
              <w:br/>
              <w:t>553/2015</w:t>
            </w:r>
            <w:r w:rsidRPr="00001760">
              <w:rPr>
                <w:rFonts w:ascii="Arial" w:hAnsi="Arial" w:cs="Arial"/>
                <w:b/>
                <w:sz w:val="16"/>
                <w:szCs w:val="16"/>
              </w:rPr>
              <w:br/>
              <w:t>543/2015</w:t>
            </w:r>
            <w:r w:rsidRPr="00001760">
              <w:rPr>
                <w:rFonts w:ascii="Arial" w:hAnsi="Arial" w:cs="Arial"/>
                <w:b/>
                <w:sz w:val="16"/>
                <w:szCs w:val="16"/>
              </w:rPr>
              <w:br/>
              <w:t>577/2015</w:t>
            </w:r>
            <w:r w:rsidRPr="00001760">
              <w:rPr>
                <w:rFonts w:ascii="Arial" w:hAnsi="Arial" w:cs="Arial"/>
                <w:b/>
                <w:sz w:val="16"/>
                <w:szCs w:val="16"/>
              </w:rPr>
              <w:br/>
              <w:t>580/2015</w:t>
            </w:r>
            <w:r w:rsidRPr="00001760">
              <w:rPr>
                <w:rFonts w:ascii="Arial" w:hAnsi="Arial" w:cs="Arial"/>
                <w:b/>
                <w:sz w:val="16"/>
                <w:szCs w:val="16"/>
              </w:rPr>
              <w:br/>
              <w:t>616/2015</w:t>
            </w:r>
            <w:r w:rsidRPr="00001760">
              <w:rPr>
                <w:rFonts w:ascii="Arial" w:hAnsi="Arial" w:cs="Arial"/>
                <w:b/>
                <w:sz w:val="16"/>
                <w:szCs w:val="16"/>
              </w:rPr>
              <w:br/>
              <w:t>657/2015</w:t>
            </w:r>
            <w:r w:rsidRPr="00001760">
              <w:rPr>
                <w:rFonts w:ascii="Arial" w:hAnsi="Arial" w:cs="Arial"/>
                <w:b/>
                <w:sz w:val="16"/>
                <w:szCs w:val="16"/>
              </w:rPr>
              <w:br/>
            </w:r>
            <w:r w:rsidRPr="00001760">
              <w:rPr>
                <w:rFonts w:ascii="Arial" w:hAnsi="Arial" w:cs="Arial"/>
                <w:b/>
                <w:sz w:val="16"/>
                <w:szCs w:val="16"/>
              </w:rPr>
              <w:lastRenderedPageBreak/>
              <w:t>659/2015</w:t>
            </w:r>
            <w:r w:rsidRPr="00001760">
              <w:rPr>
                <w:rFonts w:ascii="Arial" w:hAnsi="Arial" w:cs="Arial"/>
                <w:b/>
                <w:sz w:val="16"/>
                <w:szCs w:val="16"/>
              </w:rPr>
              <w:br/>
              <w:t>721/2015</w:t>
            </w:r>
            <w:r w:rsidRPr="00001760">
              <w:rPr>
                <w:rFonts w:ascii="Arial" w:hAnsi="Arial" w:cs="Arial"/>
                <w:b/>
                <w:sz w:val="16"/>
                <w:szCs w:val="16"/>
              </w:rPr>
              <w:br/>
              <w:t>752/2015</w:t>
            </w:r>
            <w:r w:rsidRPr="00001760">
              <w:rPr>
                <w:rFonts w:ascii="Arial" w:hAnsi="Arial" w:cs="Arial"/>
                <w:b/>
                <w:sz w:val="16"/>
                <w:szCs w:val="16"/>
              </w:rPr>
              <w:br/>
              <w:t>829/2015</w:t>
            </w:r>
            <w:r w:rsidRPr="00001760">
              <w:rPr>
                <w:rFonts w:ascii="Arial" w:hAnsi="Arial" w:cs="Arial"/>
                <w:b/>
                <w:sz w:val="16"/>
                <w:szCs w:val="16"/>
              </w:rPr>
              <w:br/>
              <w:t>831/2015</w:t>
            </w:r>
            <w:r w:rsidRPr="00001760">
              <w:rPr>
                <w:rFonts w:ascii="Arial" w:hAnsi="Arial" w:cs="Arial"/>
                <w:b/>
                <w:sz w:val="16"/>
                <w:szCs w:val="16"/>
              </w:rPr>
              <w:br/>
              <w:t>853/2015</w:t>
            </w:r>
            <w:r w:rsidRPr="00001760">
              <w:rPr>
                <w:rFonts w:ascii="Arial" w:hAnsi="Arial" w:cs="Arial"/>
                <w:b/>
                <w:sz w:val="16"/>
                <w:szCs w:val="16"/>
              </w:rPr>
              <w:br/>
              <w:t>945/2015</w:t>
            </w:r>
            <w:r w:rsidRPr="00001760">
              <w:rPr>
                <w:rFonts w:ascii="Arial" w:hAnsi="Arial" w:cs="Arial"/>
                <w:b/>
                <w:sz w:val="16"/>
                <w:szCs w:val="16"/>
              </w:rPr>
              <w:br/>
              <w:t>1227/2015</w:t>
            </w:r>
            <w:r w:rsidRPr="00001760">
              <w:rPr>
                <w:rFonts w:ascii="Arial" w:hAnsi="Arial" w:cs="Arial"/>
                <w:b/>
                <w:sz w:val="16"/>
                <w:szCs w:val="16"/>
              </w:rPr>
              <w:br/>
              <w:t>1268/2015</w:t>
            </w:r>
            <w:r w:rsidRPr="00001760">
              <w:rPr>
                <w:rFonts w:ascii="Arial" w:hAnsi="Arial" w:cs="Arial"/>
                <w:b/>
                <w:sz w:val="16"/>
                <w:szCs w:val="16"/>
              </w:rPr>
              <w:br/>
              <w:t>1274/2015</w:t>
            </w:r>
            <w:r w:rsidRPr="00001760">
              <w:rPr>
                <w:rFonts w:ascii="Arial" w:hAnsi="Arial" w:cs="Arial"/>
                <w:b/>
                <w:sz w:val="16"/>
                <w:szCs w:val="16"/>
              </w:rPr>
              <w:br/>
              <w:t>1325/2015</w:t>
            </w:r>
            <w:r w:rsidRPr="00001760">
              <w:rPr>
                <w:rFonts w:ascii="Arial" w:hAnsi="Arial" w:cs="Arial"/>
                <w:b/>
                <w:sz w:val="16"/>
                <w:szCs w:val="16"/>
              </w:rPr>
              <w:br/>
              <w:t>1342/2015</w:t>
            </w:r>
            <w:r w:rsidRPr="00001760">
              <w:rPr>
                <w:rFonts w:ascii="Arial" w:hAnsi="Arial" w:cs="Arial"/>
                <w:b/>
                <w:sz w:val="16"/>
                <w:szCs w:val="16"/>
              </w:rPr>
              <w:br/>
              <w:t>1235</w:t>
            </w:r>
            <w:r w:rsidRPr="00001760">
              <w:rPr>
                <w:rFonts w:ascii="Arial" w:hAnsi="Arial" w:cs="Arial"/>
                <w:b/>
                <w:sz w:val="16"/>
                <w:szCs w:val="16"/>
              </w:rPr>
              <w:br/>
              <w:t>1741</w:t>
            </w:r>
            <w:r w:rsidRPr="00001760">
              <w:rPr>
                <w:rFonts w:ascii="Arial" w:hAnsi="Arial" w:cs="Arial"/>
                <w:b/>
                <w:sz w:val="16"/>
                <w:szCs w:val="16"/>
              </w:rPr>
              <w:br/>
              <w:t>1388/2015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40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Evaluacion, control y seguimiento de vehículos en el Programa de Autorregulación</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Autorregulación ambiental</w:t>
            </w:r>
            <w:proofErr w:type="gramStart"/>
            <w:r w:rsidRPr="00001760">
              <w:rPr>
                <w:rFonts w:ascii="Arial" w:hAnsi="Arial" w:cs="Arial"/>
                <w:b/>
                <w:sz w:val="16"/>
                <w:szCs w:val="16"/>
              </w:rPr>
              <w:t>:  Actualmente</w:t>
            </w:r>
            <w:proofErr w:type="gramEnd"/>
            <w:r w:rsidRPr="00001760">
              <w:rPr>
                <w:rFonts w:ascii="Arial" w:hAnsi="Arial" w:cs="Arial"/>
                <w:b/>
                <w:sz w:val="16"/>
                <w:szCs w:val="16"/>
              </w:rPr>
              <w:t xml:space="preserve"> Sesenta y ocho (68) empresas se encuentra en vigencia de la resolución ambiental, correspondiente a un total de 10775 vehículos (transporte público colectivo, carga, masivo).</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34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Evaluacion, control y seguimiento a Vehiculos en el programa de requerimientos ambientales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Requerimientos ambientales: Durante el periodo se han requerido 2191 vehículos.  (nota: por error humano no se reportó avance en los meses de Julio - septiembre, ajustando valores en los meses octubre - diciembre)</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42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Generación de actuaciones técnicas y actos administrativos para el seguimiento y control a las fuentes móviles en el DC</w:t>
            </w:r>
          </w:p>
        </w:tc>
        <w:tc>
          <w:tcPr>
            <w:tcW w:w="2712"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 Se realizaron 187  actuaciones técnicas y 469 actuaciones jurídicas, para un total de 656.</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07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Desarrollo de auditorias técnicas a los equipos y procedimientos de acuerdo a los requisitos establecidos en las Normas Técnicas (Colombianas NTC's 4231, 4983, 5365)</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 Evaluación y seguimiento las organizaciones que realizan medición de emisiones (Centros de Diagnóstico Automotor y programas de autorregulación): Se han realizado ochenta  (80 visitas de evaluación y seguimiento a Centros de Diagnóstico Automotor, Unidades Móviles operadas por la SDA y equipos utilizados por las empresas inscritas en el programa de autorregulación ambiental, que corresponden a trescientos once  (311) equipos.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8175"/>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vMerge w:val="restart"/>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Ejecutar los compromisos misionales relacionados con el control a los factores de deterioro ambiental.</w:t>
            </w:r>
          </w:p>
        </w:tc>
        <w:tc>
          <w:tcPr>
            <w:tcW w:w="2712" w:type="dxa"/>
            <w:vMerge w:val="restart"/>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Procesos Técnicos: Durante diciembre de 2015 se realizó la coordinación, asesoramiento y direccionamiento técnico diferentes acciones  relacionadas con la implementación y validación de instrumentos para el control del deterioro ambiental y regulaciones ambientales en las temáticas de  Control de deterioro ambiental en los componentes aire y paisaje, a continuación se relacionan algunas de las realizadas durante el mes de diciembre de 2015:</w:t>
            </w:r>
            <w:r w:rsidRPr="00001760">
              <w:rPr>
                <w:rFonts w:ascii="Arial" w:hAnsi="Arial" w:cs="Arial"/>
                <w:b/>
                <w:sz w:val="16"/>
                <w:szCs w:val="16"/>
              </w:rPr>
              <w:br/>
              <w:t>1. Avances en la preparación del documento de Criterios para la Sanción Administrativa vía Multa en la Secretaría Distrital de Ambiente.</w:t>
            </w:r>
            <w:r w:rsidRPr="00001760">
              <w:rPr>
                <w:rFonts w:ascii="Arial" w:hAnsi="Arial" w:cs="Arial"/>
                <w:b/>
                <w:sz w:val="16"/>
                <w:szCs w:val="16"/>
              </w:rPr>
              <w:br/>
              <w:t>2. Consolidación de información relacionada con el cumplimiento de metas según la normativa ISO IWA 18091 para diferentes localidades.</w:t>
            </w:r>
            <w:r w:rsidRPr="00001760">
              <w:rPr>
                <w:rFonts w:ascii="Arial" w:hAnsi="Arial" w:cs="Arial"/>
                <w:b/>
                <w:sz w:val="16"/>
                <w:szCs w:val="16"/>
              </w:rPr>
              <w:br/>
              <w:t xml:space="preserve">3. Avances en la revisión del procedimiento de licencias ambientales </w:t>
            </w:r>
            <w:r w:rsidRPr="00001760">
              <w:rPr>
                <w:rFonts w:ascii="Arial" w:hAnsi="Arial" w:cs="Arial"/>
                <w:b/>
                <w:sz w:val="16"/>
                <w:szCs w:val="16"/>
              </w:rPr>
              <w:br/>
              <w:t>4. Revisión y consolidación de comentarios al proyecto de Decreto Único Ambiental y envío al MADS.</w:t>
            </w:r>
            <w:r w:rsidRPr="00001760">
              <w:rPr>
                <w:rFonts w:ascii="Arial" w:hAnsi="Arial" w:cs="Arial"/>
                <w:b/>
                <w:sz w:val="16"/>
                <w:szCs w:val="16"/>
              </w:rPr>
              <w:br/>
              <w:t>5. Revisión y consolidación de comentarios a la Metodología General para la Elaboración y Presentación de Estudios Ambientales y envío al MADS.</w:t>
            </w:r>
            <w:r w:rsidRPr="00001760">
              <w:rPr>
                <w:rFonts w:ascii="Arial" w:hAnsi="Arial" w:cs="Arial"/>
                <w:b/>
                <w:sz w:val="16"/>
                <w:szCs w:val="16"/>
              </w:rPr>
              <w:br/>
              <w:t>6. Revisión de expedientes de licencias ambientales</w:t>
            </w:r>
            <w:r w:rsidRPr="00001760">
              <w:rPr>
                <w:rFonts w:ascii="Arial" w:hAnsi="Arial" w:cs="Arial"/>
                <w:b/>
                <w:sz w:val="16"/>
                <w:szCs w:val="16"/>
              </w:rPr>
              <w:br/>
              <w:t xml:space="preserve">7. Revisión del concepto técnico para sancionatorio al </w:t>
            </w:r>
            <w:r w:rsidRPr="00001760">
              <w:rPr>
                <w:rFonts w:ascii="Arial" w:hAnsi="Arial" w:cs="Arial"/>
                <w:b/>
                <w:sz w:val="16"/>
                <w:szCs w:val="16"/>
              </w:rPr>
              <w:lastRenderedPageBreak/>
              <w:t>establecimiento: ARTE COLOMBIANO</w:t>
            </w:r>
            <w:r w:rsidRPr="00001760">
              <w:rPr>
                <w:rFonts w:ascii="Arial" w:hAnsi="Arial" w:cs="Arial"/>
                <w:b/>
                <w:sz w:val="16"/>
                <w:szCs w:val="16"/>
              </w:rPr>
              <w:br/>
              <w:t>8. Revisión inicial y orientación técnica borrador jurídico proceso Sancionatorio IDU  Proceso N° 3029309.</w:t>
            </w:r>
            <w:r w:rsidRPr="00001760">
              <w:rPr>
                <w:rFonts w:ascii="Arial" w:hAnsi="Arial" w:cs="Arial"/>
                <w:b/>
                <w:sz w:val="16"/>
                <w:szCs w:val="16"/>
              </w:rPr>
              <w:br/>
              <w:t>Procesos Jurídicos: Se atendieron y firmaron los Procesos allegados para revisión y  firma del Director de Control,  total Actos Administrativos Firmados diciembre 2015: 1823  - Total Actos en revisión 958  - Total actos administrativos recibidos diciembre 2015 - 2752.</w:t>
            </w:r>
            <w:r w:rsidRPr="00001760">
              <w:rPr>
                <w:rFonts w:ascii="Arial" w:hAnsi="Arial" w:cs="Arial"/>
                <w:b/>
                <w:sz w:val="16"/>
                <w:szCs w:val="16"/>
              </w:rPr>
              <w:br/>
              <w:t>Procesos Planeación: Los aspectos de Planeación que se asignaron durante el mes de noviembre fueron ejecutados a cabalidad de acuerdo a lo solicitado  y  se elaboraron  los Informes Normatizados Sector Ambiente  en las temáticas e indicadores a cargo de la Dirección Control Ambiental</w:t>
            </w:r>
            <w:r w:rsidRPr="00001760">
              <w:rPr>
                <w:rFonts w:ascii="Arial" w:hAnsi="Arial" w:cs="Arial"/>
                <w:b/>
                <w:sz w:val="16"/>
                <w:szCs w:val="16"/>
              </w:rPr>
              <w:br/>
              <w:t xml:space="preserve">Procesos Administrativos: </w:t>
            </w:r>
            <w:r w:rsidRPr="00001760">
              <w:rPr>
                <w:rFonts w:ascii="Arial" w:hAnsi="Arial" w:cs="Arial"/>
                <w:b/>
                <w:sz w:val="16"/>
                <w:szCs w:val="16"/>
              </w:rPr>
              <w:br/>
              <w:t xml:space="preserve">1. Se reportó los  trabajos y productos no conformes del proceso de Evaluación, Control y Seguimiento </w:t>
            </w:r>
            <w:r w:rsidRPr="00001760">
              <w:rPr>
                <w:rFonts w:ascii="Arial" w:hAnsi="Arial" w:cs="Arial"/>
                <w:b/>
                <w:sz w:val="16"/>
                <w:szCs w:val="16"/>
              </w:rPr>
              <w:br/>
              <w:t>2. Se consolidó el informe y presentación de revisión por la dirección, matriz DOFA y riesgos del proceso Evaluación, Control y Seguimiento.</w:t>
            </w:r>
            <w:r w:rsidRPr="00001760">
              <w:rPr>
                <w:rFonts w:ascii="Arial" w:hAnsi="Arial" w:cs="Arial"/>
                <w:b/>
                <w:sz w:val="16"/>
                <w:szCs w:val="16"/>
              </w:rPr>
              <w:br/>
              <w:t xml:space="preserve">3. Se hizo revisión de algunos procedimientos del proceso Evaluación, Control y Seguimiento </w:t>
            </w:r>
            <w:r w:rsidRPr="00001760">
              <w:rPr>
                <w:rFonts w:ascii="Arial" w:hAnsi="Arial" w:cs="Arial"/>
                <w:b/>
                <w:sz w:val="16"/>
                <w:szCs w:val="16"/>
              </w:rPr>
              <w:br/>
              <w:t xml:space="preserve">Procesos Entes de Control </w:t>
            </w:r>
            <w:r w:rsidRPr="00001760">
              <w:rPr>
                <w:rFonts w:ascii="Arial" w:hAnsi="Arial" w:cs="Arial"/>
                <w:b/>
                <w:sz w:val="16"/>
                <w:szCs w:val="16"/>
              </w:rPr>
              <w:br/>
              <w:t xml:space="preserve">Personería: </w:t>
            </w:r>
            <w:r w:rsidRPr="00001760">
              <w:rPr>
                <w:rFonts w:ascii="Arial" w:hAnsi="Arial" w:cs="Arial"/>
                <w:b/>
                <w:sz w:val="16"/>
                <w:szCs w:val="16"/>
              </w:rPr>
              <w:br/>
              <w:t xml:space="preserve">1. Se dio respuesta a los </w:t>
            </w:r>
            <w:r w:rsidRPr="00001760">
              <w:rPr>
                <w:rFonts w:ascii="Arial" w:hAnsi="Arial" w:cs="Arial"/>
                <w:b/>
                <w:sz w:val="16"/>
                <w:szCs w:val="16"/>
              </w:rPr>
              <w:lastRenderedPageBreak/>
              <w:t>radicados 2015ER230807, 2015ER238866, 2015ER230803, 2015EE232925, 2015ER236695, 2015ER236710.</w:t>
            </w:r>
            <w:r w:rsidRPr="00001760">
              <w:rPr>
                <w:rFonts w:ascii="Arial" w:hAnsi="Arial" w:cs="Arial"/>
                <w:b/>
                <w:sz w:val="16"/>
                <w:szCs w:val="16"/>
              </w:rPr>
              <w:br/>
              <w:t>2. Se remitió información en el marco de la Indagación Preliminar de Humedales 503682, asociada a los avances de los procesos sancionatorios de los humedales Capellanía, Tibanica y Jaboque a la Personería de Bogotá el 10/12/2015.</w:t>
            </w:r>
            <w:r w:rsidRPr="00001760">
              <w:rPr>
                <w:rFonts w:ascii="Arial" w:hAnsi="Arial" w:cs="Arial"/>
                <w:b/>
                <w:sz w:val="16"/>
                <w:szCs w:val="16"/>
              </w:rPr>
              <w:br/>
              <w:t xml:space="preserve">Procuraduría: </w:t>
            </w:r>
            <w:r w:rsidRPr="00001760">
              <w:rPr>
                <w:rFonts w:ascii="Arial" w:hAnsi="Arial" w:cs="Arial"/>
                <w:b/>
                <w:sz w:val="16"/>
                <w:szCs w:val="16"/>
              </w:rPr>
              <w:br/>
              <w:t>1. Se dio respuesta al radicado 2015ER238866</w:t>
            </w:r>
            <w:r w:rsidRPr="00001760">
              <w:rPr>
                <w:rFonts w:ascii="Arial" w:hAnsi="Arial" w:cs="Arial"/>
                <w:b/>
                <w:sz w:val="16"/>
                <w:szCs w:val="16"/>
              </w:rPr>
              <w:br/>
              <w:t xml:space="preserve">Contraloría: </w:t>
            </w:r>
            <w:r w:rsidRPr="00001760">
              <w:rPr>
                <w:rFonts w:ascii="Arial" w:hAnsi="Arial" w:cs="Arial"/>
                <w:b/>
                <w:sz w:val="16"/>
                <w:szCs w:val="16"/>
              </w:rPr>
              <w:br/>
              <w:t>1. Se asistió a reunión el 04-12-2015 con la Contraloría de Bogotá en la que se remitió en el marco de la información solicitada para el cálculo de la huella de carbono, hoja excel de consumos de combustible para los años 2012, 2013 y 2014 suministrada por la UPME.</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129/2015</w:t>
            </w:r>
            <w:r w:rsidRPr="00001760">
              <w:rPr>
                <w:rFonts w:ascii="Arial" w:hAnsi="Arial" w:cs="Arial"/>
                <w:b/>
                <w:sz w:val="16"/>
                <w:szCs w:val="16"/>
              </w:rPr>
              <w:br/>
              <w:t>141/2015</w:t>
            </w:r>
            <w:r w:rsidRPr="00001760">
              <w:rPr>
                <w:rFonts w:ascii="Arial" w:hAnsi="Arial" w:cs="Arial"/>
                <w:b/>
                <w:sz w:val="16"/>
                <w:szCs w:val="16"/>
              </w:rPr>
              <w:br/>
              <w:t>156/2015</w:t>
            </w:r>
            <w:r w:rsidRPr="00001760">
              <w:rPr>
                <w:rFonts w:ascii="Arial" w:hAnsi="Arial" w:cs="Arial"/>
                <w:b/>
                <w:sz w:val="16"/>
                <w:szCs w:val="16"/>
              </w:rPr>
              <w:br/>
              <w:t>169/2015</w:t>
            </w:r>
            <w:r w:rsidRPr="00001760">
              <w:rPr>
                <w:rFonts w:ascii="Arial" w:hAnsi="Arial" w:cs="Arial"/>
                <w:b/>
                <w:sz w:val="16"/>
                <w:szCs w:val="16"/>
              </w:rPr>
              <w:br/>
              <w:t>262/2015</w:t>
            </w:r>
            <w:r w:rsidRPr="00001760">
              <w:rPr>
                <w:rFonts w:ascii="Arial" w:hAnsi="Arial" w:cs="Arial"/>
                <w:b/>
                <w:sz w:val="16"/>
                <w:szCs w:val="16"/>
              </w:rPr>
              <w:br/>
              <w:t>333/2015</w:t>
            </w:r>
            <w:r w:rsidRPr="00001760">
              <w:rPr>
                <w:rFonts w:ascii="Arial" w:hAnsi="Arial" w:cs="Arial"/>
                <w:b/>
                <w:sz w:val="16"/>
                <w:szCs w:val="16"/>
              </w:rPr>
              <w:br/>
              <w:t>353/2015</w:t>
            </w:r>
            <w:r w:rsidRPr="00001760">
              <w:rPr>
                <w:rFonts w:ascii="Arial" w:hAnsi="Arial" w:cs="Arial"/>
                <w:b/>
                <w:sz w:val="16"/>
                <w:szCs w:val="16"/>
              </w:rPr>
              <w:br/>
              <w:t>363/2015</w:t>
            </w:r>
            <w:r w:rsidRPr="00001760">
              <w:rPr>
                <w:rFonts w:ascii="Arial" w:hAnsi="Arial" w:cs="Arial"/>
                <w:b/>
                <w:sz w:val="16"/>
                <w:szCs w:val="16"/>
              </w:rPr>
              <w:br/>
              <w:t>466/2015</w:t>
            </w:r>
            <w:r w:rsidRPr="00001760">
              <w:rPr>
                <w:rFonts w:ascii="Arial" w:hAnsi="Arial" w:cs="Arial"/>
                <w:b/>
                <w:sz w:val="16"/>
                <w:szCs w:val="16"/>
              </w:rPr>
              <w:br/>
              <w:t>532/2015</w:t>
            </w:r>
            <w:r w:rsidRPr="00001760">
              <w:rPr>
                <w:rFonts w:ascii="Arial" w:hAnsi="Arial" w:cs="Arial"/>
                <w:b/>
                <w:sz w:val="16"/>
                <w:szCs w:val="16"/>
              </w:rPr>
              <w:br/>
              <w:t>548/2015</w:t>
            </w:r>
            <w:r w:rsidRPr="00001760">
              <w:rPr>
                <w:rFonts w:ascii="Arial" w:hAnsi="Arial" w:cs="Arial"/>
                <w:b/>
                <w:sz w:val="16"/>
                <w:szCs w:val="16"/>
              </w:rPr>
              <w:br/>
              <w:t>575/2015</w:t>
            </w:r>
            <w:r w:rsidRPr="00001760">
              <w:rPr>
                <w:rFonts w:ascii="Arial" w:hAnsi="Arial" w:cs="Arial"/>
                <w:b/>
                <w:sz w:val="16"/>
                <w:szCs w:val="16"/>
              </w:rPr>
              <w:br/>
              <w:t>596/2015</w:t>
            </w:r>
            <w:r w:rsidRPr="00001760">
              <w:rPr>
                <w:rFonts w:ascii="Arial" w:hAnsi="Arial" w:cs="Arial"/>
                <w:b/>
                <w:sz w:val="16"/>
                <w:szCs w:val="16"/>
              </w:rPr>
              <w:br/>
              <w:t>598/2015</w:t>
            </w:r>
            <w:r w:rsidRPr="00001760">
              <w:rPr>
                <w:rFonts w:ascii="Arial" w:hAnsi="Arial" w:cs="Arial"/>
                <w:b/>
                <w:sz w:val="16"/>
                <w:szCs w:val="16"/>
              </w:rPr>
              <w:br/>
              <w:t>637/2015</w:t>
            </w:r>
            <w:r w:rsidRPr="00001760">
              <w:rPr>
                <w:rFonts w:ascii="Arial" w:hAnsi="Arial" w:cs="Arial"/>
                <w:b/>
                <w:sz w:val="16"/>
                <w:szCs w:val="16"/>
              </w:rPr>
              <w:br/>
              <w:t>664/2015</w:t>
            </w:r>
            <w:r w:rsidRPr="00001760">
              <w:rPr>
                <w:rFonts w:ascii="Arial" w:hAnsi="Arial" w:cs="Arial"/>
                <w:b/>
                <w:sz w:val="16"/>
                <w:szCs w:val="16"/>
              </w:rPr>
              <w:br/>
              <w:t>700/2015</w:t>
            </w:r>
            <w:r w:rsidRPr="00001760">
              <w:rPr>
                <w:rFonts w:ascii="Arial" w:hAnsi="Arial" w:cs="Arial"/>
                <w:b/>
                <w:sz w:val="16"/>
                <w:szCs w:val="16"/>
              </w:rPr>
              <w:br/>
              <w:t>704/2015</w:t>
            </w:r>
            <w:r w:rsidRPr="00001760">
              <w:rPr>
                <w:rFonts w:ascii="Arial" w:hAnsi="Arial" w:cs="Arial"/>
                <w:b/>
                <w:sz w:val="16"/>
                <w:szCs w:val="16"/>
              </w:rPr>
              <w:br/>
              <w:t>792/2015</w:t>
            </w:r>
            <w:r w:rsidRPr="00001760">
              <w:rPr>
                <w:rFonts w:ascii="Arial" w:hAnsi="Arial" w:cs="Arial"/>
                <w:b/>
                <w:sz w:val="16"/>
                <w:szCs w:val="16"/>
              </w:rPr>
              <w:br/>
              <w:t>817/2015</w:t>
            </w:r>
            <w:r w:rsidRPr="00001760">
              <w:rPr>
                <w:rFonts w:ascii="Arial" w:hAnsi="Arial" w:cs="Arial"/>
                <w:b/>
                <w:sz w:val="16"/>
                <w:szCs w:val="16"/>
              </w:rPr>
              <w:br/>
              <w:t>824/2015</w:t>
            </w:r>
            <w:r w:rsidRPr="00001760">
              <w:rPr>
                <w:rFonts w:ascii="Arial" w:hAnsi="Arial" w:cs="Arial"/>
                <w:b/>
                <w:sz w:val="16"/>
                <w:szCs w:val="16"/>
              </w:rPr>
              <w:br/>
              <w:t>827/2015</w:t>
            </w:r>
            <w:r w:rsidRPr="00001760">
              <w:rPr>
                <w:rFonts w:ascii="Arial" w:hAnsi="Arial" w:cs="Arial"/>
                <w:b/>
                <w:sz w:val="16"/>
                <w:szCs w:val="16"/>
              </w:rPr>
              <w:br/>
              <w:t>833/2015</w:t>
            </w:r>
            <w:r w:rsidRPr="00001760">
              <w:rPr>
                <w:rFonts w:ascii="Arial" w:hAnsi="Arial" w:cs="Arial"/>
                <w:b/>
                <w:sz w:val="16"/>
                <w:szCs w:val="16"/>
              </w:rPr>
              <w:br/>
              <w:t>856/2015</w:t>
            </w:r>
            <w:r w:rsidRPr="00001760">
              <w:rPr>
                <w:rFonts w:ascii="Arial" w:hAnsi="Arial" w:cs="Arial"/>
                <w:b/>
                <w:sz w:val="16"/>
                <w:szCs w:val="16"/>
              </w:rPr>
              <w:br/>
              <w:t>861/2015</w:t>
            </w:r>
            <w:r w:rsidRPr="00001760">
              <w:rPr>
                <w:rFonts w:ascii="Arial" w:hAnsi="Arial" w:cs="Arial"/>
                <w:b/>
                <w:sz w:val="16"/>
                <w:szCs w:val="16"/>
              </w:rPr>
              <w:br/>
              <w:t>991/2015</w:t>
            </w:r>
            <w:r w:rsidRPr="00001760">
              <w:rPr>
                <w:rFonts w:ascii="Arial" w:hAnsi="Arial" w:cs="Arial"/>
                <w:b/>
                <w:sz w:val="16"/>
                <w:szCs w:val="16"/>
              </w:rPr>
              <w:br/>
              <w:t>907/2015</w:t>
            </w:r>
            <w:r w:rsidRPr="00001760">
              <w:rPr>
                <w:rFonts w:ascii="Arial" w:hAnsi="Arial" w:cs="Arial"/>
                <w:b/>
                <w:sz w:val="16"/>
                <w:szCs w:val="16"/>
              </w:rPr>
              <w:br/>
              <w:t>927/2015</w:t>
            </w:r>
            <w:r w:rsidRPr="00001760">
              <w:rPr>
                <w:rFonts w:ascii="Arial" w:hAnsi="Arial" w:cs="Arial"/>
                <w:b/>
                <w:sz w:val="16"/>
                <w:szCs w:val="16"/>
              </w:rPr>
              <w:br/>
              <w:t>931/2015</w:t>
            </w:r>
            <w:r w:rsidRPr="00001760">
              <w:rPr>
                <w:rFonts w:ascii="Arial" w:hAnsi="Arial" w:cs="Arial"/>
                <w:b/>
                <w:sz w:val="16"/>
                <w:szCs w:val="16"/>
              </w:rPr>
              <w:br/>
              <w:t>944/2015</w:t>
            </w:r>
            <w:r w:rsidRPr="00001760">
              <w:rPr>
                <w:rFonts w:ascii="Arial" w:hAnsi="Arial" w:cs="Arial"/>
                <w:b/>
                <w:sz w:val="16"/>
                <w:szCs w:val="16"/>
              </w:rPr>
              <w:br/>
              <w:t>954/2015</w:t>
            </w:r>
            <w:r w:rsidRPr="00001760">
              <w:rPr>
                <w:rFonts w:ascii="Arial" w:hAnsi="Arial" w:cs="Arial"/>
                <w:b/>
                <w:sz w:val="16"/>
                <w:szCs w:val="16"/>
              </w:rPr>
              <w:br/>
              <w:t>1081/2015</w:t>
            </w:r>
            <w:r w:rsidRPr="00001760">
              <w:rPr>
                <w:rFonts w:ascii="Arial" w:hAnsi="Arial" w:cs="Arial"/>
                <w:b/>
                <w:sz w:val="16"/>
                <w:szCs w:val="16"/>
              </w:rPr>
              <w:br/>
              <w:t>1088/2015</w:t>
            </w:r>
            <w:r w:rsidRPr="00001760">
              <w:rPr>
                <w:rFonts w:ascii="Arial" w:hAnsi="Arial" w:cs="Arial"/>
                <w:b/>
                <w:sz w:val="16"/>
                <w:szCs w:val="16"/>
              </w:rPr>
              <w:br/>
              <w:t>1094/2015</w:t>
            </w:r>
            <w:r w:rsidRPr="00001760">
              <w:rPr>
                <w:rFonts w:ascii="Arial" w:hAnsi="Arial" w:cs="Arial"/>
                <w:b/>
                <w:sz w:val="16"/>
                <w:szCs w:val="16"/>
              </w:rPr>
              <w:br/>
              <w:t>1103/2015</w:t>
            </w:r>
            <w:r w:rsidRPr="00001760">
              <w:rPr>
                <w:rFonts w:ascii="Arial" w:hAnsi="Arial" w:cs="Arial"/>
                <w:b/>
                <w:sz w:val="16"/>
                <w:szCs w:val="16"/>
              </w:rPr>
              <w:br/>
              <w:t>1112/2015</w:t>
            </w:r>
            <w:r w:rsidRPr="00001760">
              <w:rPr>
                <w:rFonts w:ascii="Arial" w:hAnsi="Arial" w:cs="Arial"/>
                <w:b/>
                <w:sz w:val="16"/>
                <w:szCs w:val="16"/>
              </w:rPr>
              <w:br/>
              <w:t>1115/2015</w:t>
            </w:r>
            <w:r w:rsidRPr="00001760">
              <w:rPr>
                <w:rFonts w:ascii="Arial" w:hAnsi="Arial" w:cs="Arial"/>
                <w:b/>
                <w:sz w:val="16"/>
                <w:szCs w:val="16"/>
              </w:rPr>
              <w:br/>
              <w:t>1175/2015</w:t>
            </w:r>
            <w:r w:rsidRPr="00001760">
              <w:rPr>
                <w:rFonts w:ascii="Arial" w:hAnsi="Arial" w:cs="Arial"/>
                <w:b/>
                <w:sz w:val="16"/>
                <w:szCs w:val="16"/>
              </w:rPr>
              <w:br/>
              <w:t>1137/2015</w:t>
            </w:r>
            <w:r w:rsidRPr="00001760">
              <w:rPr>
                <w:rFonts w:ascii="Arial" w:hAnsi="Arial" w:cs="Arial"/>
                <w:b/>
                <w:sz w:val="16"/>
                <w:szCs w:val="16"/>
              </w:rPr>
              <w:br/>
              <w:t>1162/2015</w:t>
            </w:r>
            <w:r w:rsidRPr="00001760">
              <w:rPr>
                <w:rFonts w:ascii="Arial" w:hAnsi="Arial" w:cs="Arial"/>
                <w:b/>
                <w:sz w:val="16"/>
                <w:szCs w:val="16"/>
              </w:rPr>
              <w:br/>
              <w:t>1230/2015</w:t>
            </w:r>
            <w:r w:rsidRPr="00001760">
              <w:rPr>
                <w:rFonts w:ascii="Arial" w:hAnsi="Arial" w:cs="Arial"/>
                <w:b/>
                <w:sz w:val="16"/>
                <w:szCs w:val="16"/>
              </w:rPr>
              <w:br/>
              <w:t>1231/2015</w:t>
            </w:r>
            <w:r w:rsidRPr="00001760">
              <w:rPr>
                <w:rFonts w:ascii="Arial" w:hAnsi="Arial" w:cs="Arial"/>
                <w:b/>
                <w:sz w:val="16"/>
                <w:szCs w:val="16"/>
              </w:rPr>
              <w:br/>
              <w:t>1232/2015</w:t>
            </w:r>
            <w:r w:rsidRPr="00001760">
              <w:rPr>
                <w:rFonts w:ascii="Arial" w:hAnsi="Arial" w:cs="Arial"/>
                <w:b/>
                <w:sz w:val="16"/>
                <w:szCs w:val="16"/>
              </w:rPr>
              <w:br/>
            </w:r>
            <w:r w:rsidRPr="00001760">
              <w:rPr>
                <w:rFonts w:ascii="Arial" w:hAnsi="Arial" w:cs="Arial"/>
                <w:b/>
                <w:sz w:val="16"/>
                <w:szCs w:val="16"/>
              </w:rPr>
              <w:lastRenderedPageBreak/>
              <w:t>1233/2015</w:t>
            </w:r>
            <w:r w:rsidRPr="00001760">
              <w:rPr>
                <w:rFonts w:ascii="Arial" w:hAnsi="Arial" w:cs="Arial"/>
                <w:b/>
                <w:sz w:val="16"/>
                <w:szCs w:val="16"/>
              </w:rPr>
              <w:br/>
              <w:t>1228/2015</w:t>
            </w:r>
            <w:r w:rsidRPr="00001760">
              <w:rPr>
                <w:rFonts w:ascii="Arial" w:hAnsi="Arial" w:cs="Arial"/>
                <w:b/>
                <w:sz w:val="16"/>
                <w:szCs w:val="16"/>
              </w:rPr>
              <w:br/>
              <w:t>1229/2015</w:t>
            </w:r>
            <w:r w:rsidRPr="00001760">
              <w:rPr>
                <w:rFonts w:ascii="Arial" w:hAnsi="Arial" w:cs="Arial"/>
                <w:b/>
                <w:sz w:val="16"/>
                <w:szCs w:val="16"/>
              </w:rPr>
              <w:br/>
              <w:t>1236/2015</w:t>
            </w:r>
            <w:r w:rsidRPr="00001760">
              <w:rPr>
                <w:rFonts w:ascii="Arial" w:hAnsi="Arial" w:cs="Arial"/>
                <w:b/>
                <w:sz w:val="16"/>
                <w:szCs w:val="16"/>
              </w:rPr>
              <w:br/>
              <w:t>1254/2015</w:t>
            </w:r>
            <w:r w:rsidRPr="00001760">
              <w:rPr>
                <w:rFonts w:ascii="Arial" w:hAnsi="Arial" w:cs="Arial"/>
                <w:b/>
                <w:sz w:val="16"/>
                <w:szCs w:val="16"/>
              </w:rPr>
              <w:br/>
              <w:t>1256/2015</w:t>
            </w:r>
            <w:r w:rsidRPr="00001760">
              <w:rPr>
                <w:rFonts w:ascii="Arial" w:hAnsi="Arial" w:cs="Arial"/>
                <w:b/>
                <w:sz w:val="16"/>
                <w:szCs w:val="16"/>
              </w:rPr>
              <w:br/>
              <w:t>1260/2015</w:t>
            </w:r>
            <w:r w:rsidRPr="00001760">
              <w:rPr>
                <w:rFonts w:ascii="Arial" w:hAnsi="Arial" w:cs="Arial"/>
                <w:b/>
                <w:sz w:val="16"/>
                <w:szCs w:val="16"/>
              </w:rPr>
              <w:br/>
              <w:t>1261/2015</w:t>
            </w:r>
            <w:r w:rsidRPr="00001760">
              <w:rPr>
                <w:rFonts w:ascii="Arial" w:hAnsi="Arial" w:cs="Arial"/>
                <w:b/>
                <w:sz w:val="16"/>
                <w:szCs w:val="16"/>
              </w:rPr>
              <w:br/>
              <w:t>1272/2015</w:t>
            </w:r>
            <w:r w:rsidRPr="00001760">
              <w:rPr>
                <w:rFonts w:ascii="Arial" w:hAnsi="Arial" w:cs="Arial"/>
                <w:b/>
                <w:sz w:val="16"/>
                <w:szCs w:val="16"/>
              </w:rPr>
              <w:br/>
              <w:t>1271/2015</w:t>
            </w:r>
            <w:r w:rsidRPr="00001760">
              <w:rPr>
                <w:rFonts w:ascii="Arial" w:hAnsi="Arial" w:cs="Arial"/>
                <w:b/>
                <w:sz w:val="16"/>
                <w:szCs w:val="16"/>
              </w:rPr>
              <w:br/>
              <w:t>1273/2015</w:t>
            </w:r>
            <w:r w:rsidRPr="00001760">
              <w:rPr>
                <w:rFonts w:ascii="Arial" w:hAnsi="Arial" w:cs="Arial"/>
                <w:b/>
                <w:sz w:val="16"/>
                <w:szCs w:val="16"/>
              </w:rPr>
              <w:br/>
              <w:t>1289/2015</w:t>
            </w:r>
            <w:r w:rsidRPr="00001760">
              <w:rPr>
                <w:rFonts w:ascii="Arial" w:hAnsi="Arial" w:cs="Arial"/>
                <w:b/>
                <w:sz w:val="16"/>
                <w:szCs w:val="16"/>
              </w:rPr>
              <w:br/>
              <w:t>1308/2015</w:t>
            </w:r>
            <w:r w:rsidRPr="00001760">
              <w:rPr>
                <w:rFonts w:ascii="Arial" w:hAnsi="Arial" w:cs="Arial"/>
                <w:b/>
                <w:sz w:val="16"/>
                <w:szCs w:val="16"/>
              </w:rPr>
              <w:br/>
              <w:t>1329/2015</w:t>
            </w:r>
            <w:r w:rsidRPr="00001760">
              <w:rPr>
                <w:rFonts w:ascii="Arial" w:hAnsi="Arial" w:cs="Arial"/>
                <w:b/>
                <w:sz w:val="16"/>
                <w:szCs w:val="16"/>
              </w:rPr>
              <w:br/>
              <w:t>1356/2015</w:t>
            </w:r>
          </w:p>
        </w:tc>
        <w:tc>
          <w:tcPr>
            <w:tcW w:w="3543" w:type="dxa"/>
            <w:vMerge w:val="restart"/>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8175"/>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vMerge/>
            <w:hideMark/>
          </w:tcPr>
          <w:p w:rsidR="00001760" w:rsidRPr="00001760" w:rsidRDefault="00001760" w:rsidP="00001760">
            <w:pPr>
              <w:jc w:val="both"/>
              <w:rPr>
                <w:rFonts w:ascii="Arial" w:hAnsi="Arial" w:cs="Arial"/>
                <w:b/>
                <w:sz w:val="16"/>
                <w:szCs w:val="16"/>
              </w:rPr>
            </w:pPr>
          </w:p>
        </w:tc>
        <w:tc>
          <w:tcPr>
            <w:tcW w:w="2712" w:type="dxa"/>
            <w:vMerge/>
            <w:hideMark/>
          </w:tcPr>
          <w:p w:rsidR="00001760" w:rsidRPr="00001760" w:rsidRDefault="00001760" w:rsidP="00001760">
            <w:pPr>
              <w:jc w:val="both"/>
              <w:rPr>
                <w:rFonts w:ascii="Arial" w:hAnsi="Arial" w:cs="Arial"/>
                <w:b/>
                <w:sz w:val="16"/>
                <w:szCs w:val="16"/>
              </w:rPr>
            </w:pP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vMerge/>
            <w:hideMark/>
          </w:tcPr>
          <w:p w:rsidR="00001760" w:rsidRPr="00001760" w:rsidRDefault="00001760" w:rsidP="00001760">
            <w:pPr>
              <w:jc w:val="both"/>
              <w:rPr>
                <w:rFonts w:ascii="Arial" w:hAnsi="Arial" w:cs="Arial"/>
                <w:b/>
                <w:sz w:val="16"/>
                <w:szCs w:val="16"/>
              </w:rPr>
            </w:pPr>
          </w:p>
        </w:tc>
      </w:tr>
      <w:tr w:rsidR="00001760" w:rsidRPr="00001760" w:rsidTr="00001760">
        <w:trPr>
          <w:trHeight w:val="298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Diseño de la plataforma sistémica y espacial</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1. Se elaboró documento descriptivo de arquitectura del sistema con base en el aplicativo de caso de uso real</w:t>
            </w:r>
            <w:r w:rsidRPr="00001760">
              <w:rPr>
                <w:rFonts w:ascii="Arial" w:hAnsi="Arial" w:cs="Arial"/>
                <w:b/>
                <w:sz w:val="16"/>
                <w:szCs w:val="16"/>
              </w:rPr>
              <w:br/>
              <w:t>2. Se finalizaron los documentos: levantamiento de información geográfica, mapa de procesos y flujograma de producción de información geográfica, proceso de generación de metadato con base a procedimientos adoptados por la entidad para el tratamiento de información geográfica y protocolo de control de calidad para datos geográficos del tema cambio climático</w:t>
            </w:r>
            <w:r w:rsidRPr="00001760">
              <w:rPr>
                <w:rFonts w:ascii="Arial" w:hAnsi="Arial" w:cs="Arial"/>
                <w:b/>
                <w:sz w:val="16"/>
                <w:szCs w:val="16"/>
              </w:rPr>
              <w:br/>
              <w:t xml:space="preserve">3. Se generaron las salidas gráficas para módulo ASUS 2008, Residuos 2012 y PIUP 2012 y su base de datos geográfica. </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412/2015</w:t>
            </w:r>
            <w:r w:rsidRPr="00001760">
              <w:rPr>
                <w:rFonts w:ascii="Arial" w:hAnsi="Arial" w:cs="Arial"/>
                <w:b/>
                <w:sz w:val="16"/>
                <w:szCs w:val="16"/>
              </w:rPr>
              <w:br/>
              <w:t>423/2015</w:t>
            </w:r>
            <w:r w:rsidRPr="00001760">
              <w:rPr>
                <w:rFonts w:ascii="Arial" w:hAnsi="Arial" w:cs="Arial"/>
                <w:b/>
                <w:sz w:val="16"/>
                <w:szCs w:val="16"/>
              </w:rPr>
              <w:br/>
              <w:t>434/2015</w:t>
            </w:r>
            <w:r w:rsidRPr="00001760">
              <w:rPr>
                <w:rFonts w:ascii="Arial" w:hAnsi="Arial" w:cs="Arial"/>
                <w:b/>
                <w:sz w:val="16"/>
                <w:szCs w:val="16"/>
              </w:rPr>
              <w:br/>
              <w:t>775/2015</w:t>
            </w:r>
            <w:r w:rsidRPr="00001760">
              <w:rPr>
                <w:rFonts w:ascii="Arial" w:hAnsi="Arial" w:cs="Arial"/>
                <w:b/>
                <w:sz w:val="16"/>
                <w:szCs w:val="16"/>
              </w:rPr>
              <w:br/>
              <w:t>904/2015</w:t>
            </w:r>
            <w:r w:rsidRPr="00001760">
              <w:rPr>
                <w:rFonts w:ascii="Arial" w:hAnsi="Arial" w:cs="Arial"/>
                <w:b/>
                <w:sz w:val="16"/>
                <w:szCs w:val="16"/>
              </w:rPr>
              <w:br/>
              <w:t>905/2015</w:t>
            </w:r>
            <w:r w:rsidRPr="00001760">
              <w:rPr>
                <w:rFonts w:ascii="Arial" w:hAnsi="Arial" w:cs="Arial"/>
                <w:b/>
                <w:sz w:val="16"/>
                <w:szCs w:val="16"/>
              </w:rPr>
              <w:br/>
              <w:t>912/2015</w:t>
            </w:r>
            <w:r w:rsidRPr="00001760">
              <w:rPr>
                <w:rFonts w:ascii="Arial" w:hAnsi="Arial" w:cs="Arial"/>
                <w:b/>
                <w:sz w:val="16"/>
                <w:szCs w:val="16"/>
              </w:rPr>
              <w:br/>
              <w:t>1151/2015</w:t>
            </w:r>
            <w:r w:rsidRPr="00001760">
              <w:rPr>
                <w:rFonts w:ascii="Arial" w:hAnsi="Arial" w:cs="Arial"/>
                <w:b/>
                <w:sz w:val="16"/>
                <w:szCs w:val="16"/>
              </w:rPr>
              <w:br/>
              <w:t>1288/2015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298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Analizar estadisticamente el 100%  de la tendencia ascendente y descendente  de emisiones GEI (CO2 y Metano)</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1. Se ajustó documento de procedimiento de análisis estadístico de tendencias de emisiones de GEI, se efectuó su aplicación y se generó el respectivo documento de reporte de análisis</w:t>
            </w:r>
            <w:r w:rsidRPr="00001760">
              <w:rPr>
                <w:rFonts w:ascii="Arial" w:hAnsi="Arial" w:cs="Arial"/>
                <w:b/>
                <w:sz w:val="16"/>
                <w:szCs w:val="16"/>
              </w:rPr>
              <w:br/>
              <w:t>2. Se cuenta con el consolidado de inventario de GEI bajo categorías IPCC, 2006 (inventariadas a dic de 2015) y GPC para inventario 2012</w:t>
            </w:r>
            <w:r w:rsidRPr="00001760">
              <w:rPr>
                <w:rFonts w:ascii="Arial" w:hAnsi="Arial" w:cs="Arial"/>
                <w:b/>
                <w:sz w:val="16"/>
                <w:szCs w:val="16"/>
              </w:rPr>
              <w:br/>
              <w:t>3. Se elaboró documento de procedimiento de garantía de calidad para el diseño, desarrollo, gestión y reporte y verificación de inventarios de GEI</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298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Correlacionar el 100% en tiempo real, las variables meteorológicas (Temperatura y Precipitación) con las concentraciones de GEI (CO2) y Metano</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Se realizó:</w:t>
            </w:r>
            <w:r w:rsidRPr="00001760">
              <w:rPr>
                <w:rFonts w:ascii="Arial" w:hAnsi="Arial" w:cs="Arial"/>
                <w:b/>
                <w:sz w:val="16"/>
                <w:szCs w:val="16"/>
              </w:rPr>
              <w:br/>
              <w:t>1. Descargue del Envista, validación de los datos de monitoreo GEI (18 nov. a 18 dic 2015) y actualización de informe de validación</w:t>
            </w:r>
            <w:r w:rsidRPr="00001760">
              <w:rPr>
                <w:rFonts w:ascii="Arial" w:hAnsi="Arial" w:cs="Arial"/>
                <w:b/>
                <w:sz w:val="16"/>
                <w:szCs w:val="16"/>
              </w:rPr>
              <w:br/>
              <w:t>2.Descargue, organización de variables meteorológicas del último trimestre 2015 para la actualización del documento “Análisis del fenómeno de Islas de Calor Urbana en la ciudad de Bogotá”.</w:t>
            </w:r>
            <w:r w:rsidRPr="00001760">
              <w:rPr>
                <w:rFonts w:ascii="Arial" w:hAnsi="Arial" w:cs="Arial"/>
                <w:b/>
                <w:sz w:val="16"/>
                <w:szCs w:val="16"/>
              </w:rPr>
              <w:br/>
              <w:t xml:space="preserve">3. Finalización de mediciones programadas con equipo IRGA para 2015. </w:t>
            </w:r>
            <w:r w:rsidRPr="00001760">
              <w:rPr>
                <w:rFonts w:ascii="Arial" w:hAnsi="Arial" w:cs="Arial"/>
                <w:b/>
                <w:sz w:val="16"/>
                <w:szCs w:val="16"/>
              </w:rPr>
              <w:br/>
            </w:r>
            <w:proofErr w:type="gramStart"/>
            <w:r w:rsidRPr="00001760">
              <w:rPr>
                <w:rFonts w:ascii="Arial" w:hAnsi="Arial" w:cs="Arial"/>
                <w:b/>
                <w:sz w:val="16"/>
                <w:szCs w:val="16"/>
              </w:rPr>
              <w:t>4.Verificación</w:t>
            </w:r>
            <w:proofErr w:type="gramEnd"/>
            <w:r w:rsidRPr="00001760">
              <w:rPr>
                <w:rFonts w:ascii="Arial" w:hAnsi="Arial" w:cs="Arial"/>
                <w:b/>
                <w:sz w:val="16"/>
                <w:szCs w:val="16"/>
              </w:rPr>
              <w:t xml:space="preserve"> de las bitácoras reportadas en ENVISTA (18 nov a 18 de dic 2015) y comparación de datos registrados por los analizadores frente a las actividades de mantenimiento correctivo y/o preventivo y/o calibraciones que pueden generar datos atípicos en las series registradas.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76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Evaluar el 100% anual en número de toneladas de emisiones de GEI evitadas en los sectores de Energía, Residuos, ASUS (Agricultura</w:t>
            </w:r>
            <w:proofErr w:type="gramStart"/>
            <w:r w:rsidRPr="00001760">
              <w:rPr>
                <w:rFonts w:ascii="Arial" w:hAnsi="Arial" w:cs="Arial"/>
                <w:b/>
                <w:sz w:val="16"/>
                <w:szCs w:val="16"/>
              </w:rPr>
              <w:t>,Silvicultura</w:t>
            </w:r>
            <w:proofErr w:type="gramEnd"/>
            <w:r w:rsidRPr="00001760">
              <w:rPr>
                <w:rFonts w:ascii="Arial" w:hAnsi="Arial" w:cs="Arial"/>
                <w:b/>
                <w:sz w:val="16"/>
                <w:szCs w:val="16"/>
              </w:rPr>
              <w:t xml:space="preserve"> y Usos del Suelo) y Procesos Industriales.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Se realizó:</w:t>
            </w:r>
            <w:r w:rsidRPr="00001760">
              <w:rPr>
                <w:rFonts w:ascii="Arial" w:hAnsi="Arial" w:cs="Arial"/>
                <w:b/>
                <w:sz w:val="16"/>
                <w:szCs w:val="16"/>
              </w:rPr>
              <w:br/>
              <w:t>1. Finalización de los  documentos: a. "Líneas de Acción para el apoyo en la viabilidad y ejecución de los  proyectos de Bajo Carbono en la ciudad de Bogotá</w:t>
            </w:r>
            <w:proofErr w:type="gramStart"/>
            <w:r w:rsidRPr="00001760">
              <w:rPr>
                <w:rFonts w:ascii="Arial" w:hAnsi="Arial" w:cs="Arial"/>
                <w:b/>
                <w:sz w:val="16"/>
                <w:szCs w:val="16"/>
              </w:rPr>
              <w:t>" ;</w:t>
            </w:r>
            <w:proofErr w:type="gramEnd"/>
            <w:r w:rsidRPr="00001760">
              <w:rPr>
                <w:rFonts w:ascii="Arial" w:hAnsi="Arial" w:cs="Arial"/>
                <w:b/>
                <w:sz w:val="16"/>
                <w:szCs w:val="16"/>
              </w:rPr>
              <w:t xml:space="preserve"> b. Consolidado de principales políticas, planes y medidas de las acciones de bajo carbono en Colombia, Estados unidos, Asia y Europa y c. Principales instrumentos financieros para apalancar los proyectos bajo carbono.</w:t>
            </w:r>
            <w:r w:rsidRPr="00001760">
              <w:rPr>
                <w:rFonts w:ascii="Arial" w:hAnsi="Arial" w:cs="Arial"/>
                <w:b/>
                <w:sz w:val="16"/>
                <w:szCs w:val="16"/>
              </w:rPr>
              <w:br/>
              <w:t>2. Ajuste a propuesta previa proyectos piloto según medidas de mitigación sectoriales</w:t>
            </w:r>
            <w:r w:rsidRPr="00001760">
              <w:rPr>
                <w:rFonts w:ascii="Arial" w:hAnsi="Arial" w:cs="Arial"/>
                <w:b/>
                <w:sz w:val="16"/>
                <w:szCs w:val="16"/>
              </w:rPr>
              <w:br/>
              <w:t>3. Ajuste indicadores y respectivas hojas metodológicas para los módulos  Energía, ASUS, Residuos y PIUP.</w:t>
            </w:r>
            <w:r w:rsidRPr="00001760">
              <w:rPr>
                <w:rFonts w:ascii="Arial" w:hAnsi="Arial" w:cs="Arial"/>
                <w:b/>
                <w:sz w:val="16"/>
                <w:szCs w:val="16"/>
              </w:rPr>
              <w:br/>
              <w:t>4. Revisión de comportamiento de consumo de energía en Bogotá, y en sector construcción vivienda según estudios vs. m2  construidos y potenciales de calentamiento AR4.</w:t>
            </w:r>
            <w:r w:rsidRPr="00001760">
              <w:rPr>
                <w:rFonts w:ascii="Arial" w:hAnsi="Arial" w:cs="Arial"/>
                <w:b/>
                <w:sz w:val="16"/>
                <w:szCs w:val="16"/>
              </w:rPr>
              <w:br/>
              <w:t xml:space="preserve">5. Entrega de cálculos inventario de GEI 2012 -AR2 y AR4, y documento de aplicación para los escenarios AR2 para los </w:t>
            </w:r>
            <w:r w:rsidRPr="00001760">
              <w:rPr>
                <w:rFonts w:ascii="Arial" w:hAnsi="Arial" w:cs="Arial"/>
                <w:b/>
                <w:sz w:val="16"/>
                <w:szCs w:val="16"/>
              </w:rPr>
              <w:lastRenderedPageBreak/>
              <w:t>módulos ASUS, Residuos, Energía y PIUP</w:t>
            </w:r>
            <w:r w:rsidRPr="00001760">
              <w:rPr>
                <w:rFonts w:ascii="Arial" w:hAnsi="Arial" w:cs="Arial"/>
                <w:b/>
                <w:sz w:val="16"/>
                <w:szCs w:val="16"/>
              </w:rPr>
              <w:br/>
              <w:t>6. Avance en actualización inventario GE años 2013 y 2014 y documentación correspondiente</w:t>
            </w:r>
            <w:r w:rsidRPr="00001760">
              <w:rPr>
                <w:rFonts w:ascii="Arial" w:hAnsi="Arial" w:cs="Arial"/>
                <w:b/>
                <w:sz w:val="16"/>
                <w:szCs w:val="16"/>
              </w:rPr>
              <w:br/>
              <w:t>7. Consolidación de tabla de resultados de reducción de emisiones de GEI, de las metas planteadas a corto, mediano y largo plazo, años 2020, 2025, 2038 y 2050, para los módulos Energía, PIUP, ASUS, y Residuos.</w:t>
            </w:r>
            <w:r w:rsidRPr="00001760">
              <w:rPr>
                <w:rFonts w:ascii="Arial" w:hAnsi="Arial" w:cs="Arial"/>
                <w:b/>
                <w:sz w:val="16"/>
                <w:szCs w:val="16"/>
              </w:rPr>
              <w:br/>
              <w:t>8. Estimación de las emisiones de GEI de las metas de aprovechamiento por la UAESP, en el marco del PGIRS.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262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Evaluar el 100% anual de la implementación de estrategias, planes y programas y medidas de mitigación en el distrito capital para los sectores de Energía, Residuos, ASUS y Procesos Industriales.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Se realizó:</w:t>
            </w:r>
            <w:r w:rsidRPr="00001760">
              <w:rPr>
                <w:rFonts w:ascii="Arial" w:hAnsi="Arial" w:cs="Arial"/>
                <w:b/>
                <w:sz w:val="16"/>
                <w:szCs w:val="16"/>
              </w:rPr>
              <w:br/>
              <w:t xml:space="preserve">1. Ajustes a los cálculos de las medidas de mitigación y se corrió su respectiva proyección, en concordancia con lo requerido para plan climático </w:t>
            </w:r>
            <w:r w:rsidRPr="00001760">
              <w:rPr>
                <w:rFonts w:ascii="Arial" w:hAnsi="Arial" w:cs="Arial"/>
                <w:b/>
                <w:sz w:val="16"/>
                <w:szCs w:val="16"/>
              </w:rPr>
              <w:br/>
              <w:t>2. Modelamiento en el programa VENSIM los perfiles de proyecto formulados para los módulos ASUS, Residuos, Energía y PIUP en escenario pesimista y se modelaron los cálculos de emisiones de GEI para las diferentes categorías que componen los módulos ASUS, Residuos, Energía y PIUP.</w:t>
            </w:r>
            <w:r w:rsidRPr="00001760">
              <w:rPr>
                <w:rFonts w:ascii="Arial" w:hAnsi="Arial" w:cs="Arial"/>
                <w:b/>
                <w:sz w:val="16"/>
                <w:szCs w:val="16"/>
              </w:rPr>
              <w:br/>
            </w:r>
            <w:proofErr w:type="gramStart"/>
            <w:r w:rsidRPr="00001760">
              <w:rPr>
                <w:rFonts w:ascii="Arial" w:hAnsi="Arial" w:cs="Arial"/>
                <w:b/>
                <w:sz w:val="16"/>
                <w:szCs w:val="16"/>
              </w:rPr>
              <w:t>3.Análisis</w:t>
            </w:r>
            <w:proofErr w:type="gramEnd"/>
            <w:r w:rsidRPr="00001760">
              <w:rPr>
                <w:rFonts w:ascii="Arial" w:hAnsi="Arial" w:cs="Arial"/>
                <w:b/>
                <w:sz w:val="16"/>
                <w:szCs w:val="16"/>
              </w:rPr>
              <w:t xml:space="preserve"> financiero de los proyectos mitigación de GEI.</w:t>
            </w:r>
            <w:r w:rsidRPr="00001760">
              <w:rPr>
                <w:rFonts w:ascii="Arial" w:hAnsi="Arial" w:cs="Arial"/>
                <w:b/>
                <w:sz w:val="16"/>
                <w:szCs w:val="16"/>
              </w:rPr>
              <w:br/>
              <w:t>4. Estimación de  los costos de las toneladas reducidas de CH4, N2O y CO2 de proyectos de mitigación de GEI.</w:t>
            </w:r>
            <w:r w:rsidRPr="00001760">
              <w:rPr>
                <w:rFonts w:ascii="Arial" w:hAnsi="Arial" w:cs="Arial"/>
                <w:b/>
                <w:sz w:val="16"/>
                <w:szCs w:val="16"/>
              </w:rPr>
              <w:br/>
              <w:t>5. Análisis de costos de seguimiento y control asociados a mitigación</w:t>
            </w:r>
            <w:r w:rsidRPr="00001760">
              <w:rPr>
                <w:rFonts w:ascii="Arial" w:hAnsi="Arial" w:cs="Arial"/>
                <w:b/>
                <w:sz w:val="16"/>
                <w:szCs w:val="16"/>
              </w:rPr>
              <w:br/>
              <w:t>6. Analisis y ajuste a los cálculos a los escenarios de reducción de emisiones según proyecto.</w:t>
            </w:r>
            <w:r w:rsidRPr="00001760">
              <w:rPr>
                <w:rFonts w:ascii="Arial" w:hAnsi="Arial" w:cs="Arial"/>
                <w:b/>
                <w:sz w:val="16"/>
                <w:szCs w:val="16"/>
              </w:rPr>
              <w:br/>
              <w:t xml:space="preserve">7. Finalización de la evaluación de proyectos analizados en periodo 2015. </w:t>
            </w:r>
            <w:r w:rsidRPr="00001760">
              <w:rPr>
                <w:rFonts w:ascii="Arial" w:hAnsi="Arial" w:cs="Arial"/>
                <w:b/>
                <w:sz w:val="16"/>
                <w:szCs w:val="16"/>
              </w:rPr>
              <w:br/>
              <w:t xml:space="preserve">8. Presentación de proyectos </w:t>
            </w:r>
            <w:r w:rsidRPr="00001760">
              <w:rPr>
                <w:rFonts w:ascii="Arial" w:hAnsi="Arial" w:cs="Arial"/>
                <w:b/>
                <w:sz w:val="16"/>
                <w:szCs w:val="16"/>
              </w:rPr>
              <w:lastRenderedPageBreak/>
              <w:t>piloto, y ajustes a fichas de proyectos de mitigación según módulo</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2805"/>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operativos/Visitas  (actas, registros fotográficos),,</w:t>
            </w:r>
          </w:p>
        </w:tc>
        <w:tc>
          <w:tcPr>
            <w:tcW w:w="2712"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Se realizaron treinta  (30) operativos en los cuales se han visitado 304 establecimientos de comercio.</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419/2015</w:t>
            </w:r>
            <w:r w:rsidRPr="00001760">
              <w:rPr>
                <w:rFonts w:ascii="Arial" w:hAnsi="Arial" w:cs="Arial"/>
                <w:b/>
                <w:sz w:val="16"/>
                <w:szCs w:val="16"/>
              </w:rPr>
              <w:br/>
              <w:t>422/2015</w:t>
            </w:r>
            <w:r w:rsidRPr="00001760">
              <w:rPr>
                <w:rFonts w:ascii="Arial" w:hAnsi="Arial" w:cs="Arial"/>
                <w:b/>
                <w:sz w:val="16"/>
                <w:szCs w:val="16"/>
              </w:rPr>
              <w:br/>
              <w:t>645/2015</w:t>
            </w:r>
            <w:r w:rsidRPr="00001760">
              <w:rPr>
                <w:rFonts w:ascii="Arial" w:hAnsi="Arial" w:cs="Arial"/>
                <w:b/>
                <w:sz w:val="16"/>
                <w:szCs w:val="16"/>
              </w:rPr>
              <w:br/>
              <w:t>948/2015</w:t>
            </w:r>
            <w:r w:rsidRPr="00001760">
              <w:rPr>
                <w:rFonts w:ascii="Arial" w:hAnsi="Arial" w:cs="Arial"/>
                <w:b/>
                <w:sz w:val="16"/>
                <w:szCs w:val="16"/>
              </w:rPr>
              <w:br/>
              <w:t>1125/2015</w:t>
            </w:r>
            <w:r w:rsidRPr="00001760">
              <w:rPr>
                <w:rFonts w:ascii="Arial" w:hAnsi="Arial" w:cs="Arial"/>
                <w:b/>
                <w:sz w:val="16"/>
                <w:szCs w:val="16"/>
              </w:rPr>
              <w:br/>
              <w:t>1159/2015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 xml:space="preserve">El seguimiento y monitoreo permitirá también evaluar la eficacia, pertinencia, </w:t>
            </w:r>
            <w:r w:rsidRPr="00001760">
              <w:rPr>
                <w:rFonts w:ascii="Arial" w:hAnsi="Arial" w:cs="Arial"/>
                <w:b/>
                <w:sz w:val="16"/>
                <w:szCs w:val="16"/>
              </w:rPr>
              <w:lastRenderedPageBreak/>
              <w:t>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66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Evaluación, seguimiento y control a factores  de deterioro ambiental (Informes Técnicos y/ o conceptos técnicos)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br/>
              <w:t>Se realizó evaluación y seguimiento  del cumplimiento de la normatividad ambiental a doscientos diez y seis (216) establecimientos de comercio de acuerdo con los formatos definidos en los procedimientos del Sistema Integrado de Gestión.</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295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Participar en las Ferias Distritales de Servicio al Ciudadano en el marco del Decreto 494 de 2010</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Se realizaron treinta y nueve (39) jornadas de capacitación y sensibilización en aspectos establecidos  en la ley 232 y  trámites ambientales para comerciantes en temas de competencia de la Secretaría Distrital de Ambiente.</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9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REDUCIR EN 10% LA CONTAMINACIÓN POR MATERIAL PARTICULADO DE DIÁMETRO MENOR A 10 MICRAS (PM10) Y GENERAR LAS CONDICIONES PARA EL MONITOREO DE (PM2.5) EN LA CIUDAD</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Estructuracion y avance en la  implementacion del Sistema de Alertas Tempranas Ambientales de Bogotá, SATAB</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Resolución conjunta 2410 del 2015 "por medio de la cual se establece el Índice Bogotano de Calidad del Aire - IBOCA - para la definición de niveles de prevención, alerta o emergencia por contaminación atmosférica en Bogotá D.C. y se toman otras determinaciones". Decreto 595 de 2015 "por el cual se adopta el Sistema de Alertas Tempranas Ambientales de Bogotá para su componente aire, SATAB-aire".Presentación de las propiedades fisicoquímicas del black carbon y muestra del análisis y la validación de datos del black carbon.Informe de bitácora del equipo Aetalometro utilizado para el monitoreo de black carbon a cargo del SATAB.  Documento General del Monitoreo de Black Carbon, 2014-2015. V2. Protocolos de respuesta a emergencias por contaminación atmosférica de Bogotá y de atención de alertas por contaminación atmosférica de Bogotá. Adjudicación a la empresa SANAMIENTE SAS la “compra de un equipo portátil de monitoreo multicomponente de </w:t>
            </w:r>
            <w:r w:rsidRPr="00001760">
              <w:rPr>
                <w:rFonts w:ascii="Arial" w:hAnsi="Arial" w:cs="Arial"/>
                <w:b/>
                <w:sz w:val="16"/>
                <w:szCs w:val="16"/>
              </w:rPr>
              <w:lastRenderedPageBreak/>
              <w:t xml:space="preserve">contaminantes atmosféricos y variables meteorológicas, con accesorios y consumibles para atender alertas y emergencias ambientales por contaminación atmosférica en Bogotá, para la Secretaría Distrital de Ambiente”. </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Aire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115/2015</w:t>
            </w:r>
            <w:r w:rsidRPr="00001760">
              <w:rPr>
                <w:rFonts w:ascii="Arial" w:hAnsi="Arial" w:cs="Arial"/>
                <w:b/>
                <w:sz w:val="16"/>
                <w:szCs w:val="16"/>
              </w:rPr>
              <w:br/>
              <w:t>880/2015</w:t>
            </w:r>
            <w:r w:rsidRPr="00001760">
              <w:rPr>
                <w:rFonts w:ascii="Arial" w:hAnsi="Arial" w:cs="Arial"/>
                <w:b/>
                <w:sz w:val="16"/>
                <w:szCs w:val="16"/>
              </w:rPr>
              <w:br/>
              <w:t>881/2015</w:t>
            </w:r>
            <w:r w:rsidRPr="00001760">
              <w:rPr>
                <w:rFonts w:ascii="Arial" w:hAnsi="Arial" w:cs="Arial"/>
                <w:b/>
                <w:sz w:val="16"/>
                <w:szCs w:val="16"/>
              </w:rPr>
              <w:br/>
              <w:t>1426/2015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9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Identificar 2 áreas críticas. </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identificación del área crítica a intervenir durante el año 2015, se determinó para el mes de marzo, dada como producto de la priorización de zonas y basado entre otros factores, en las solicitudes recibidas, las reuniones, mesas a las que la entidad asiste y los mapas de ruido. La zona a intervenir es la zona rosa o zona de rumba del barrio Restrepo de la Localidad Antonio Nariño y  en la localidad de Kennedy, la de talleres de mecánica ubicada en villa alsacia , quedando pendiente realizar la linea base de esta zona, sinembargo en el mes de junio del año 2015 se realizó el inventario de fuentes fijas generadoras de ruido que van a ser objeto de intervención en el desarrollo del area critica, durante el mes de diciembre se realizaron las visitas tecnicas a los predios identificados en el inventario de fuentes de la zona critica de kennedy.</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146/2015</w:t>
            </w:r>
            <w:r w:rsidRPr="00001760">
              <w:rPr>
                <w:rFonts w:ascii="Arial" w:hAnsi="Arial" w:cs="Arial"/>
                <w:b/>
                <w:sz w:val="16"/>
                <w:szCs w:val="16"/>
              </w:rPr>
              <w:br/>
              <w:t>147/2015</w:t>
            </w:r>
            <w:r w:rsidRPr="00001760">
              <w:rPr>
                <w:rFonts w:ascii="Arial" w:hAnsi="Arial" w:cs="Arial"/>
                <w:b/>
                <w:sz w:val="16"/>
                <w:szCs w:val="16"/>
              </w:rPr>
              <w:br/>
              <w:t>158/2015</w:t>
            </w:r>
            <w:r w:rsidRPr="00001760">
              <w:rPr>
                <w:rFonts w:ascii="Arial" w:hAnsi="Arial" w:cs="Arial"/>
                <w:b/>
                <w:sz w:val="16"/>
                <w:szCs w:val="16"/>
              </w:rPr>
              <w:br/>
              <w:t>161/2015</w:t>
            </w:r>
            <w:r w:rsidRPr="00001760">
              <w:rPr>
                <w:rFonts w:ascii="Arial" w:hAnsi="Arial" w:cs="Arial"/>
                <w:b/>
                <w:sz w:val="16"/>
                <w:szCs w:val="16"/>
              </w:rPr>
              <w:br/>
              <w:t>168/2015</w:t>
            </w:r>
            <w:r w:rsidRPr="00001760">
              <w:rPr>
                <w:rFonts w:ascii="Arial" w:hAnsi="Arial" w:cs="Arial"/>
                <w:b/>
                <w:sz w:val="16"/>
                <w:szCs w:val="16"/>
              </w:rPr>
              <w:br/>
              <w:t>170/2015</w:t>
            </w:r>
            <w:r w:rsidRPr="00001760">
              <w:rPr>
                <w:rFonts w:ascii="Arial" w:hAnsi="Arial" w:cs="Arial"/>
                <w:b/>
                <w:sz w:val="16"/>
                <w:szCs w:val="16"/>
              </w:rPr>
              <w:br/>
              <w:t>172/2015</w:t>
            </w:r>
            <w:r w:rsidRPr="00001760">
              <w:rPr>
                <w:rFonts w:ascii="Arial" w:hAnsi="Arial" w:cs="Arial"/>
                <w:b/>
                <w:sz w:val="16"/>
                <w:szCs w:val="16"/>
              </w:rPr>
              <w:br/>
              <w:t>173/2015</w:t>
            </w:r>
            <w:r w:rsidRPr="00001760">
              <w:rPr>
                <w:rFonts w:ascii="Arial" w:hAnsi="Arial" w:cs="Arial"/>
                <w:b/>
                <w:sz w:val="16"/>
                <w:szCs w:val="16"/>
              </w:rPr>
              <w:br/>
              <w:t>162/2015</w:t>
            </w:r>
            <w:r w:rsidRPr="00001760">
              <w:rPr>
                <w:rFonts w:ascii="Arial" w:hAnsi="Arial" w:cs="Arial"/>
                <w:b/>
                <w:sz w:val="16"/>
                <w:szCs w:val="16"/>
              </w:rPr>
              <w:br/>
              <w:t>179/2015</w:t>
            </w:r>
            <w:r w:rsidRPr="00001760">
              <w:rPr>
                <w:rFonts w:ascii="Arial" w:hAnsi="Arial" w:cs="Arial"/>
                <w:b/>
                <w:sz w:val="16"/>
                <w:szCs w:val="16"/>
              </w:rPr>
              <w:br/>
              <w:t>181/2015</w:t>
            </w:r>
            <w:r w:rsidRPr="00001760">
              <w:rPr>
                <w:rFonts w:ascii="Arial" w:hAnsi="Arial" w:cs="Arial"/>
                <w:b/>
                <w:sz w:val="16"/>
                <w:szCs w:val="16"/>
              </w:rPr>
              <w:br/>
              <w:t>185/2015</w:t>
            </w:r>
            <w:r w:rsidRPr="00001760">
              <w:rPr>
                <w:rFonts w:ascii="Arial" w:hAnsi="Arial" w:cs="Arial"/>
                <w:b/>
                <w:sz w:val="16"/>
                <w:szCs w:val="16"/>
              </w:rPr>
              <w:br/>
              <w:t>194/2015</w:t>
            </w:r>
            <w:r w:rsidRPr="00001760">
              <w:rPr>
                <w:rFonts w:ascii="Arial" w:hAnsi="Arial" w:cs="Arial"/>
                <w:b/>
                <w:sz w:val="16"/>
                <w:szCs w:val="16"/>
              </w:rPr>
              <w:br/>
              <w:t>195/2015</w:t>
            </w:r>
            <w:r w:rsidRPr="00001760">
              <w:rPr>
                <w:rFonts w:ascii="Arial" w:hAnsi="Arial" w:cs="Arial"/>
                <w:b/>
                <w:sz w:val="16"/>
                <w:szCs w:val="16"/>
              </w:rPr>
              <w:br/>
              <w:t>227/2015</w:t>
            </w:r>
            <w:r w:rsidRPr="00001760">
              <w:rPr>
                <w:rFonts w:ascii="Arial" w:hAnsi="Arial" w:cs="Arial"/>
                <w:b/>
                <w:sz w:val="16"/>
                <w:szCs w:val="16"/>
              </w:rPr>
              <w:br/>
              <w:t>238/2015</w:t>
            </w:r>
            <w:r w:rsidRPr="00001760">
              <w:rPr>
                <w:rFonts w:ascii="Arial" w:hAnsi="Arial" w:cs="Arial"/>
                <w:b/>
                <w:sz w:val="16"/>
                <w:szCs w:val="16"/>
              </w:rPr>
              <w:br/>
              <w:t>202/2015</w:t>
            </w:r>
            <w:r w:rsidRPr="00001760">
              <w:rPr>
                <w:rFonts w:ascii="Arial" w:hAnsi="Arial" w:cs="Arial"/>
                <w:b/>
                <w:sz w:val="16"/>
                <w:szCs w:val="16"/>
              </w:rPr>
              <w:br/>
              <w:t>307/2015</w:t>
            </w:r>
            <w:r w:rsidRPr="00001760">
              <w:rPr>
                <w:rFonts w:ascii="Arial" w:hAnsi="Arial" w:cs="Arial"/>
                <w:b/>
                <w:sz w:val="16"/>
                <w:szCs w:val="16"/>
              </w:rPr>
              <w:br/>
              <w:t>332/2015</w:t>
            </w:r>
            <w:r w:rsidRPr="00001760">
              <w:rPr>
                <w:rFonts w:ascii="Arial" w:hAnsi="Arial" w:cs="Arial"/>
                <w:b/>
                <w:sz w:val="16"/>
                <w:szCs w:val="16"/>
              </w:rPr>
              <w:br/>
              <w:t>3512015</w:t>
            </w:r>
            <w:r w:rsidRPr="00001760">
              <w:rPr>
                <w:rFonts w:ascii="Arial" w:hAnsi="Arial" w:cs="Arial"/>
                <w:b/>
                <w:sz w:val="16"/>
                <w:szCs w:val="16"/>
              </w:rPr>
              <w:br/>
              <w:t>378/2015</w:t>
            </w:r>
            <w:r w:rsidRPr="00001760">
              <w:rPr>
                <w:rFonts w:ascii="Arial" w:hAnsi="Arial" w:cs="Arial"/>
                <w:b/>
                <w:sz w:val="16"/>
                <w:szCs w:val="16"/>
              </w:rPr>
              <w:br/>
              <w:t>387/2015</w:t>
            </w:r>
            <w:r w:rsidRPr="00001760">
              <w:rPr>
                <w:rFonts w:ascii="Arial" w:hAnsi="Arial" w:cs="Arial"/>
                <w:b/>
                <w:sz w:val="16"/>
                <w:szCs w:val="16"/>
              </w:rPr>
              <w:br/>
              <w:t>407/2015</w:t>
            </w:r>
            <w:r w:rsidRPr="00001760">
              <w:rPr>
                <w:rFonts w:ascii="Arial" w:hAnsi="Arial" w:cs="Arial"/>
                <w:b/>
                <w:sz w:val="16"/>
                <w:szCs w:val="16"/>
              </w:rPr>
              <w:br/>
              <w:t>424/2015</w:t>
            </w:r>
            <w:r w:rsidRPr="00001760">
              <w:rPr>
                <w:rFonts w:ascii="Arial" w:hAnsi="Arial" w:cs="Arial"/>
                <w:b/>
                <w:sz w:val="16"/>
                <w:szCs w:val="16"/>
              </w:rPr>
              <w:br/>
              <w:t>435/2015</w:t>
            </w:r>
            <w:r w:rsidRPr="00001760">
              <w:rPr>
                <w:rFonts w:ascii="Arial" w:hAnsi="Arial" w:cs="Arial"/>
                <w:b/>
                <w:sz w:val="16"/>
                <w:szCs w:val="16"/>
              </w:rPr>
              <w:br/>
              <w:t>469/2015</w:t>
            </w:r>
            <w:r w:rsidRPr="00001760">
              <w:rPr>
                <w:rFonts w:ascii="Arial" w:hAnsi="Arial" w:cs="Arial"/>
                <w:b/>
                <w:sz w:val="16"/>
                <w:szCs w:val="16"/>
              </w:rPr>
              <w:br/>
              <w:t>508/2015</w:t>
            </w:r>
            <w:r w:rsidRPr="00001760">
              <w:rPr>
                <w:rFonts w:ascii="Arial" w:hAnsi="Arial" w:cs="Arial"/>
                <w:b/>
                <w:sz w:val="16"/>
                <w:szCs w:val="16"/>
              </w:rPr>
              <w:br/>
              <w:t>595/2015</w:t>
            </w:r>
            <w:r w:rsidRPr="00001760">
              <w:rPr>
                <w:rFonts w:ascii="Arial" w:hAnsi="Arial" w:cs="Arial"/>
                <w:b/>
                <w:sz w:val="16"/>
                <w:szCs w:val="16"/>
              </w:rPr>
              <w:br/>
            </w:r>
            <w:r w:rsidRPr="00001760">
              <w:rPr>
                <w:rFonts w:ascii="Arial" w:hAnsi="Arial" w:cs="Arial"/>
                <w:b/>
                <w:sz w:val="16"/>
                <w:szCs w:val="16"/>
              </w:rPr>
              <w:lastRenderedPageBreak/>
              <w:t>608/2015</w:t>
            </w:r>
            <w:r w:rsidRPr="00001760">
              <w:rPr>
                <w:rFonts w:ascii="Arial" w:hAnsi="Arial" w:cs="Arial"/>
                <w:b/>
                <w:sz w:val="16"/>
                <w:szCs w:val="16"/>
              </w:rPr>
              <w:br/>
              <w:t>642/2015</w:t>
            </w:r>
            <w:r w:rsidRPr="00001760">
              <w:rPr>
                <w:rFonts w:ascii="Arial" w:hAnsi="Arial" w:cs="Arial"/>
                <w:b/>
                <w:sz w:val="16"/>
                <w:szCs w:val="16"/>
              </w:rPr>
              <w:br/>
              <w:t>814/2015</w:t>
            </w:r>
            <w:r w:rsidRPr="00001760">
              <w:rPr>
                <w:rFonts w:ascii="Arial" w:hAnsi="Arial" w:cs="Arial"/>
                <w:b/>
                <w:sz w:val="16"/>
                <w:szCs w:val="16"/>
              </w:rPr>
              <w:br/>
              <w:t>877/2015</w:t>
            </w:r>
            <w:r w:rsidRPr="00001760">
              <w:rPr>
                <w:rFonts w:ascii="Arial" w:hAnsi="Arial" w:cs="Arial"/>
                <w:b/>
                <w:sz w:val="16"/>
                <w:szCs w:val="16"/>
              </w:rPr>
              <w:br/>
              <w:t>1007/2015</w:t>
            </w:r>
            <w:r w:rsidRPr="00001760">
              <w:rPr>
                <w:rFonts w:ascii="Arial" w:hAnsi="Arial" w:cs="Arial"/>
                <w:b/>
                <w:sz w:val="16"/>
                <w:szCs w:val="16"/>
              </w:rPr>
              <w:br/>
              <w:t>909/2015</w:t>
            </w:r>
            <w:r w:rsidRPr="00001760">
              <w:rPr>
                <w:rFonts w:ascii="Arial" w:hAnsi="Arial" w:cs="Arial"/>
                <w:b/>
                <w:sz w:val="16"/>
                <w:szCs w:val="16"/>
              </w:rPr>
              <w:br/>
              <w:t>910/2015</w:t>
            </w:r>
            <w:r w:rsidRPr="00001760">
              <w:rPr>
                <w:rFonts w:ascii="Arial" w:hAnsi="Arial" w:cs="Arial"/>
                <w:b/>
                <w:sz w:val="16"/>
                <w:szCs w:val="16"/>
              </w:rPr>
              <w:br/>
              <w:t>939/2015</w:t>
            </w:r>
            <w:r w:rsidRPr="00001760">
              <w:rPr>
                <w:rFonts w:ascii="Arial" w:hAnsi="Arial" w:cs="Arial"/>
                <w:b/>
                <w:sz w:val="16"/>
                <w:szCs w:val="16"/>
              </w:rPr>
              <w:br/>
              <w:t>1029/2015</w:t>
            </w:r>
            <w:r w:rsidRPr="00001760">
              <w:rPr>
                <w:rFonts w:ascii="Arial" w:hAnsi="Arial" w:cs="Arial"/>
                <w:b/>
                <w:sz w:val="16"/>
                <w:szCs w:val="16"/>
              </w:rPr>
              <w:br/>
              <w:t>1036/2015</w:t>
            </w:r>
            <w:r w:rsidRPr="00001760">
              <w:rPr>
                <w:rFonts w:ascii="Arial" w:hAnsi="Arial" w:cs="Arial"/>
                <w:b/>
                <w:sz w:val="16"/>
                <w:szCs w:val="16"/>
              </w:rPr>
              <w:br/>
              <w:t>1037/2015</w:t>
            </w:r>
            <w:r w:rsidRPr="00001760">
              <w:rPr>
                <w:rFonts w:ascii="Arial" w:hAnsi="Arial" w:cs="Arial"/>
                <w:b/>
                <w:sz w:val="16"/>
                <w:szCs w:val="16"/>
              </w:rPr>
              <w:br/>
              <w:t>1073/2015</w:t>
            </w:r>
            <w:r w:rsidRPr="00001760">
              <w:rPr>
                <w:rFonts w:ascii="Arial" w:hAnsi="Arial" w:cs="Arial"/>
                <w:b/>
                <w:sz w:val="16"/>
                <w:szCs w:val="16"/>
              </w:rPr>
              <w:br/>
              <w:t>1087/2015</w:t>
            </w:r>
            <w:r w:rsidRPr="00001760">
              <w:rPr>
                <w:rFonts w:ascii="Arial" w:hAnsi="Arial" w:cs="Arial"/>
                <w:b/>
                <w:sz w:val="16"/>
                <w:szCs w:val="16"/>
              </w:rPr>
              <w:br/>
              <w:t>1093/2015</w:t>
            </w:r>
            <w:r w:rsidRPr="00001760">
              <w:rPr>
                <w:rFonts w:ascii="Arial" w:hAnsi="Arial" w:cs="Arial"/>
                <w:b/>
                <w:sz w:val="16"/>
                <w:szCs w:val="16"/>
              </w:rPr>
              <w:br/>
              <w:t>1165/2015</w:t>
            </w:r>
            <w:r w:rsidRPr="00001760">
              <w:rPr>
                <w:rFonts w:ascii="Arial" w:hAnsi="Arial" w:cs="Arial"/>
                <w:b/>
                <w:sz w:val="16"/>
                <w:szCs w:val="16"/>
              </w:rPr>
              <w:br/>
              <w:t>1162/2015</w:t>
            </w:r>
            <w:r w:rsidRPr="00001760">
              <w:rPr>
                <w:rFonts w:ascii="Arial" w:hAnsi="Arial" w:cs="Arial"/>
                <w:b/>
                <w:sz w:val="16"/>
                <w:szCs w:val="16"/>
              </w:rPr>
              <w:br/>
              <w:t>1257/2015</w:t>
            </w:r>
            <w:r w:rsidRPr="00001760">
              <w:rPr>
                <w:rFonts w:ascii="Arial" w:hAnsi="Arial" w:cs="Arial"/>
                <w:b/>
                <w:sz w:val="16"/>
                <w:szCs w:val="16"/>
              </w:rPr>
              <w:br/>
              <w:t>1428/2015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9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Realizar intervención a dos áreas críticas identificadas (realizacion de actuaciones técnicas o actuaciones juridicas según sea el caso).   </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Se realizan visitas, se atienden quejas puntuales de sitios que por el desarrollo de su actividad económica generan afectación por ruido. Adicionalmente se realizan los requerimientos a que halla lugar, cuando se observan los incumplimientos normativos, se realizaron visitas tecnicas en la zona de rumba del barrio restrepo, requiriendo a los propietarios o generadores de la emision para que realizaran las obras tendientes a cumplir con los estandares de ruido permitidos para la zona segun la normatividad ambiental vigente en la materia, se desarrollo ademas un operativo general a la zona del barrio Restrepo en el cual se realizaron un total de 16 visitas técnicas, en donde se generaron los requerimientos correspondientes de tal manera que una vez se cumpla el tiempo otorgado en los mismos se generaran los seguimientos y segun el resutado de las visitas se adelantaran las actuaciones tecnicas o juridicas que corresponda, asi mismo se realizaron las visitas técnicas a </w:t>
            </w:r>
            <w:r w:rsidRPr="00001760">
              <w:rPr>
                <w:rFonts w:ascii="Arial" w:hAnsi="Arial" w:cs="Arial"/>
                <w:b/>
                <w:sz w:val="16"/>
                <w:szCs w:val="16"/>
              </w:rPr>
              <w:lastRenderedPageBreak/>
              <w:t>los predios objeto de inventario para la localidad de kennedy determinando asi el cumplimiento normativo en materia de ruido; para aquellos que presentaron incumplimiento normativo en materia de ruido se les realizaron los requerimientos correspondientes.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9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visitas de control  a las fuentes generadoras de ruido identificadas en las areas criticas posterior a las visitas iniciales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Para la última semana del mes de Julio se comenzaron a adelantar los seguimientos a las actas/requerimiento realizadas en el barrio Restrepo de la Localidad de Antonio Nariño, hasta el momento se han adelantado un total de cuarenta y tres (43) seguimientos a dichas actas y según los resultados obtenidos en las visitas se generan las actuaciones técnicas correspondientes, las cuales continuaran con los trámites correspondientes según el cumplimiento normativo en materia de ruido, los seguimientos a los requerimientos efectuados en la zona critica de Kennedy se tienen planteados para los meses de enero y febrero de 2016 y según el resultado de estos, se realizarán las actuaciones técnicas o jurídicas correspondientes.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469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Evaluación de los niveles de ruido en las zonas intervenidas a través del monitoreo, con la comparacion de los resultados de la linea base con los resultados obtenidos despues de la intervención</w:t>
            </w:r>
          </w:p>
        </w:tc>
        <w:tc>
          <w:tcPr>
            <w:tcW w:w="2712"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drawing>
                <wp:anchor distT="0" distB="0" distL="114300" distR="114300" simplePos="0" relativeHeight="251660288" behindDoc="0" locked="0" layoutInCell="1" allowOverlap="1" wp14:anchorId="55AF5849" wp14:editId="42DAD504">
                  <wp:simplePos x="0" y="0"/>
                  <wp:positionH relativeFrom="column">
                    <wp:posOffset>2438400</wp:posOffset>
                  </wp:positionH>
                  <wp:positionV relativeFrom="paragraph">
                    <wp:posOffset>904875</wp:posOffset>
                  </wp:positionV>
                  <wp:extent cx="4857750" cy="1790700"/>
                  <wp:effectExtent l="0" t="0" r="0" b="0"/>
                  <wp:wrapNone/>
                  <wp:docPr id="1125" name="Imagen 1125"/>
                  <wp:cNvGraphicFramePr/>
                  <a:graphic xmlns:a="http://schemas.openxmlformats.org/drawingml/2006/main">
                    <a:graphicData uri="http://schemas.openxmlformats.org/drawingml/2006/picture">
                      <pic:pic xmlns:pic="http://schemas.openxmlformats.org/drawingml/2006/picture">
                        <pic:nvPicPr>
                          <pic:cNvPr id="1125" name="Imagen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179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496"/>
            </w:tblGrid>
            <w:tr w:rsidR="00001760" w:rsidRPr="00001760">
              <w:trPr>
                <w:trHeight w:val="4699"/>
                <w:tblCellSpacing w:w="0" w:type="dxa"/>
              </w:trPr>
              <w:tc>
                <w:tcPr>
                  <w:tcW w:w="16000" w:type="dxa"/>
                  <w:tcBorders>
                    <w:top w:val="nil"/>
                    <w:left w:val="nil"/>
                    <w:bottom w:val="single" w:sz="4" w:space="0" w:color="auto"/>
                    <w:right w:val="nil"/>
                  </w:tcBorders>
                  <w:shd w:val="clear" w:color="auto" w:fill="auto"/>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La evaluación de los niveles de ruido en las zonas intervenidas, se programó para iniciarse en el mes de noviembre del presente año, teniendo en cuenta que esta actividad se realiza una vez sea intervenida el area crítica y correspondera con los resultados de la intervención, la realizacion de las mediciones de seguimiento y de evaluacion de los resultados se pospuso para el primer trimestre del año 2015 toda vez que la zona para la fecha en la que se estipuló el seguimiento las condiciones sonoras no correspondian a las condiciones habituales, razon por la cual se establecieron los puntos de monitoreo para el seguimiento, las cuales se adelantaron según el cronograma, a continuacion se presenta el cuadro comparativo con los resultados que hasta ahora se presentan en la disminución de los niveles de presion sonora en las zonas </w:t>
                  </w:r>
                  <w:r w:rsidRPr="00001760">
                    <w:rPr>
                      <w:rFonts w:ascii="Arial" w:hAnsi="Arial" w:cs="Arial"/>
                      <w:b/>
                      <w:sz w:val="16"/>
                      <w:szCs w:val="16"/>
                    </w:rPr>
                    <w:lastRenderedPageBreak/>
                    <w:t>intervenidas, con excepción de Mártires:</w:t>
                  </w:r>
                </w:p>
              </w:tc>
            </w:tr>
          </w:tbl>
          <w:p w:rsidR="00001760" w:rsidRPr="00001760" w:rsidRDefault="00001760" w:rsidP="00001760">
            <w:pPr>
              <w:jc w:val="both"/>
              <w:rPr>
                <w:rFonts w:ascii="Arial" w:hAnsi="Arial" w:cs="Arial"/>
                <w:b/>
                <w:sz w:val="16"/>
                <w:szCs w:val="16"/>
              </w:rPr>
            </w:pP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3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Generación de actuaciones jurídicas y actos administrativos para el seguimiento y control de Ruido (actuaciones en toda la ciudad)</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El Grupo de Ruido de la Subdireccion de Calidad del Aire, auditiva y Visual, determina la necesidad de iniciar los procesos sancionatorios ambientales a aquellos generadores que incumplen con los niveles de presion sonora; este procedimiento esta basado en los parámetros estipulados en la Ley 1333 de 2009 que establece una serie de etapas que se deben surtir en su totalidad para garantizar el derecho al debido proceso; es por esto, que en el mes de Diciembre del año 2015 se proyectaron un total 141 autos administrativos, de (4) imposiciones de medidas preventivas, (4) levantamientos de medidas preventivas,  (12) inicios de procedimientos sancionatorios,  (14) son formulaciones de pliegos de cargos, (69) autos de pruebas.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300"/>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monitoreo, seguimiento y control a fuentes fijas generadoras de ruido en atención a radicados presentados vía web y en el Sistema Distrital de Quejas y Soluciones (actuaciones en toda la ciudad)</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El Grupo de Ruido de la Subdireccion de Calidad del Aire, auditiva y Visual, realiza las actividades de evaluacion, control y seguimiento, realizando visitas tecnicas  con el fin de determinar el cumplimiento normativo de los niveles de ruido según los parametros establecidos por la normativdad vigente. Durante lo corrido del año 2015 se han realizado (2058) visitas tecnicas de ruido de las cuales (150) corresponden a las reportadas para el mes de Diciembre en las cuales de determinan bien sea el cumplimiento normativo a la luz de la normatividad vigente o se realiza la verificacion de adecuaciones tendientes al levantamiento temporal de las medidas preventivas.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595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Analizar y comparar los niveles de ruido con la normas referentes a las operaciones del Aeropuerto con base en los registros de ruido de las cinco (5) estaciones de monitoreo.</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Durante el periodo de Diciembre de 2015 se realizó  las siguientes  actividades:</w:t>
            </w:r>
            <w:r w:rsidRPr="00001760">
              <w:rPr>
                <w:rFonts w:ascii="Arial" w:hAnsi="Arial" w:cs="Arial"/>
                <w:b/>
                <w:sz w:val="16"/>
                <w:szCs w:val="16"/>
              </w:rPr>
              <w:br/>
              <w:t xml:space="preserve">ü Revisión diaria vía protocolo rdp, para verificar el flujo de ficheros de ruido desde las terminales de monitoreo hacia el servidor FTP. </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Revisión diaria a través de protocolo de conexión rdp, con el fin verificar el flujo de datos radar en tiempo real en la tarjeta de interfaz de red,  verificando los paquetes mediante snifer y vigilancia de los servicios (roles) del sistema operativo Windows Server 2008.</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Backup de los registros de ruido (descargas)  de los respectivo ficheros asociados a los niveles de ruido de las cinco terminales de monitoreo  y datos de radar  en  medio magnético externo.</w:t>
            </w:r>
            <w:r w:rsidRPr="00001760">
              <w:rPr>
                <w:rFonts w:ascii="Arial" w:hAnsi="Arial" w:cs="Arial"/>
                <w:b/>
                <w:sz w:val="16"/>
                <w:szCs w:val="16"/>
              </w:rPr>
              <w:br/>
              <w:t>ü Mantenimiento preventivo  a las  terminales de vigilancia de ruido con el fin de verificar su adecuado funcionamiento de los componentes que las conforman, limpieza, revisión de conexiones eléctricas, enlace a internet y respuesta a ping de las IP’s.</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Procesamiento de operaciones de aeronaves y archivos Records, archivos Billings para correlación mediante código SSR de radar secundario.</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Modelación de los procedimientos ATC referente a las salidas/llegadas normalizadas por instrumentos.</w:t>
            </w:r>
            <w:r w:rsidRPr="00001760">
              <w:rPr>
                <w:rFonts w:ascii="Arial" w:hAnsi="Arial" w:cs="Arial"/>
                <w:b/>
                <w:sz w:val="16"/>
                <w:szCs w:val="16"/>
              </w:rPr>
              <w:br/>
            </w:r>
            <w:proofErr w:type="gramStart"/>
            <w:r w:rsidRPr="00001760">
              <w:rPr>
                <w:rFonts w:ascii="Arial" w:hAnsi="Arial" w:cs="Arial"/>
                <w:b/>
                <w:sz w:val="16"/>
                <w:szCs w:val="16"/>
              </w:rPr>
              <w:lastRenderedPageBreak/>
              <w:t>ü</w:t>
            </w:r>
            <w:proofErr w:type="gramEnd"/>
            <w:r w:rsidRPr="00001760">
              <w:rPr>
                <w:rFonts w:ascii="Arial" w:hAnsi="Arial" w:cs="Arial"/>
                <w:b/>
                <w:sz w:val="16"/>
                <w:szCs w:val="16"/>
              </w:rPr>
              <w:t xml:space="preserve"> Alimentación de base de datos de aeronaves que operan en la TMA  del Dorado (SKBO).</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Ingreso de datos al modelo INM con las trayectorias del aeropuerto internacional Eldorado.</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Consolidación y procesamiento de los eventos de ruido de las aeronaves obtenidas mediante las terminales de medición.</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Contestación y respuesta a quejas radicadas sobre el Ruido Aeropuerto. </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Calibración acústica de las estaciones de la Red  de Monitoreo de Ruido.</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Proyección del borrador del nuevo convenio para 2016 entre la SDA y la Aeronáutica civil</w:t>
            </w:r>
            <w:r w:rsidRPr="00001760">
              <w:rPr>
                <w:rFonts w:ascii="Arial" w:hAnsi="Arial" w:cs="Arial"/>
                <w:b/>
                <w:sz w:val="16"/>
                <w:szCs w:val="16"/>
              </w:rPr>
              <w:br/>
              <w:t xml:space="preserve">ü Elaboración  del estudio técnico y de factibilidad de actualización y modernización de la Red de Medición de ruido mediante implementación de receptores de vigilancia dependiente automática por radio difusión (ADS-B) </w:t>
            </w:r>
            <w:r w:rsidRPr="00001760">
              <w:rPr>
                <w:rFonts w:ascii="Arial" w:hAnsi="Arial" w:cs="Arial"/>
                <w:b/>
                <w:sz w:val="16"/>
                <w:szCs w:val="16"/>
              </w:rPr>
              <w:br/>
              <w:t>ü Reunión con la Aeronáutica civil –tema  solicitud reunión del comité técnico entre jefes y continuidad del convenio de cooperación 033 de 2011.</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Elaboración del estudio y análisis  de la modificación del decreto 765 de 1999  por el cual se reglamentan la zona de influencia  del Aeropuerto Eldorado.</w:t>
            </w:r>
            <w:r w:rsidRPr="00001760">
              <w:rPr>
                <w:rFonts w:ascii="Arial" w:hAnsi="Arial" w:cs="Arial"/>
                <w:b/>
                <w:sz w:val="16"/>
                <w:szCs w:val="16"/>
              </w:rPr>
              <w:br/>
            </w:r>
            <w:proofErr w:type="gramStart"/>
            <w:r w:rsidRPr="00001760">
              <w:rPr>
                <w:rFonts w:ascii="Arial" w:hAnsi="Arial" w:cs="Arial"/>
                <w:b/>
                <w:sz w:val="16"/>
                <w:szCs w:val="16"/>
              </w:rPr>
              <w:t>ü</w:t>
            </w:r>
            <w:proofErr w:type="gramEnd"/>
            <w:r w:rsidRPr="00001760">
              <w:rPr>
                <w:rFonts w:ascii="Arial" w:hAnsi="Arial" w:cs="Arial"/>
                <w:b/>
                <w:sz w:val="16"/>
                <w:szCs w:val="16"/>
              </w:rPr>
              <w:t xml:space="preserve"> Procesamiento de las operaciones aéreas, archivos Billings y datos Records para la </w:t>
            </w:r>
            <w:r w:rsidRPr="00001760">
              <w:rPr>
                <w:rFonts w:ascii="Arial" w:hAnsi="Arial" w:cs="Arial"/>
                <w:b/>
                <w:sz w:val="16"/>
                <w:szCs w:val="16"/>
              </w:rPr>
              <w:lastRenderedPageBreak/>
              <w:t>elaboración  del informe semestral del primer semestre de 2015.</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239/2015</w:t>
            </w:r>
            <w:r w:rsidRPr="00001760">
              <w:rPr>
                <w:rFonts w:ascii="Arial" w:hAnsi="Arial" w:cs="Arial"/>
                <w:b/>
                <w:sz w:val="16"/>
                <w:szCs w:val="16"/>
              </w:rPr>
              <w:br/>
              <w:t>540/2015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w:t>
            </w:r>
          </w:p>
        </w:tc>
      </w:tr>
      <w:tr w:rsidR="00001760" w:rsidRPr="00001760" w:rsidTr="00001760">
        <w:trPr>
          <w:trHeight w:val="229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REDUCIR EN 5% LA CONTAMINACIÓN SONORA EN TRES ÁREAS ESTRATÉGICAS DE LA CIUDAD </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Elaboración de los  informes  con datos estadísticos que permitan, la toma de decisiones frente a las excedencias de los niveles de ruido generados por las operaciones aérea.</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La Secretaría Distrital De Ambiente proporciona informes semestrales acerca del aporte global de las aeronaves al clima de ruido en zonas aledañas al Aeropuerto Internacional Eldorado, en estos informes se compara el confort acústico propuesto en la resolución 627 del 2006 del Ministerio de Ambiente Vivienda y Desarrollo Territorial con los niveles de ruido proveniente de aeronaves (separando los eventos de fuentes ajenas según). También se proporciona mapas estratégicos de ruido en donde se detalla la influencia del aeropuerto en la zona, en la siguiente figura se observa uno de estos mapas, el correspondiente al indicador Ldn (nivel de ruido corregido día/noche) resaltando la curva de 65dBA la cual es utilizada para delimitar el área de influencia de los niveles de ruido. Los resultados y recomendaciones de los estudios de ruido en el marco del Convenio de Cooperación No. 033 de 2011 entre la Secretaría Distrital de </w:t>
            </w:r>
            <w:r w:rsidRPr="00001760">
              <w:rPr>
                <w:rFonts w:ascii="Arial" w:hAnsi="Arial" w:cs="Arial"/>
                <w:b/>
                <w:sz w:val="16"/>
                <w:szCs w:val="16"/>
              </w:rPr>
              <w:lastRenderedPageBreak/>
              <w:t xml:space="preserve">Ambiente y la Unidad Administrativa Especial de Aeronáutica Civil, se encuentran extensamente detallados en informes semestrales que pueden ser consultados en la Subdirección de Calidad del Aire Auditiva y Visual de la Secretaría Distrital De Ambiente.  </w:t>
            </w:r>
            <w:proofErr w:type="gramStart"/>
            <w:r w:rsidRPr="00001760">
              <w:rPr>
                <w:rFonts w:ascii="Arial" w:hAnsi="Arial" w:cs="Arial"/>
                <w:b/>
                <w:sz w:val="16"/>
                <w:szCs w:val="16"/>
              </w:rPr>
              <w:t>actualmente</w:t>
            </w:r>
            <w:proofErr w:type="gramEnd"/>
            <w:r w:rsidRPr="00001760">
              <w:rPr>
                <w:rFonts w:ascii="Arial" w:hAnsi="Arial" w:cs="Arial"/>
                <w:b/>
                <w:sz w:val="16"/>
                <w:szCs w:val="16"/>
              </w:rPr>
              <w:t xml:space="preserve"> se encuentra aprobado el informe del segundo semestre del año 2014 el cual fue entregado para conocimiento y fines pertinentes de las entidades competentes; por su parte el primer informe del año 2015 se encuentra en recolección de información.</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Sonora</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82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LEGALIZAR EL 50%  DE LOS REGISTROS DE PUBLICIDAD EXTERIOR VISUAL EN BOGOTÁ</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la imposición de calcomanías de "valla ilegal" a elementos de este tipo, que se encuentran instalados en la Ciudad de Bogotá y no cumplen con la normatividad ambiental vigente.</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br/>
              <w:t xml:space="preserve">La SDA firmó el Contrato No. 1467 de 2014 con el representante legal de FINI S.A.S, que tiene por objeto “Suministro e instalación de Calcomanías con texto &lt;valla ilegal&gt; en vallas tubulares comerciales, de obra o institucionales que no cumplan con la normatividad vigente y que se encuentran ubicadas en Bogotá D.C.", Para el mes de febrero, se definió el arte de la calcomanía a emplearse en la actividad de imposición y se realizaron visitas de control y seguimiento, en las cuales disminuyeron a catorce (14) los puntos viables para esta actividad. De igual forma, se tiene previsto para la segunda semana del mes de marzo, imponer cuatro (4) de las ocho (8) calcomanías, objeto del contrato No. 1467 de 2014.   </w:t>
            </w:r>
            <w:r w:rsidRPr="00001760">
              <w:rPr>
                <w:rFonts w:ascii="Arial" w:hAnsi="Arial" w:cs="Arial"/>
                <w:b/>
                <w:sz w:val="16"/>
                <w:szCs w:val="16"/>
              </w:rPr>
              <w:br/>
              <w:t xml:space="preserve">Así mismo, mediante radicado No. 2015ER43329 del 16/03/2015, el contratista solicita la suspensión temporal del contrato 1467 del 2014, por un periodo de dos (2) meses a partir </w:t>
            </w:r>
            <w:r w:rsidRPr="00001760">
              <w:rPr>
                <w:rFonts w:ascii="Arial" w:hAnsi="Arial" w:cs="Arial"/>
                <w:b/>
                <w:sz w:val="16"/>
                <w:szCs w:val="16"/>
              </w:rPr>
              <w:lastRenderedPageBreak/>
              <w:t>de la fecha de radicación.</w:t>
            </w:r>
            <w:r w:rsidRPr="00001760">
              <w:rPr>
                <w:rFonts w:ascii="Arial" w:hAnsi="Arial" w:cs="Arial"/>
                <w:b/>
                <w:sz w:val="16"/>
                <w:szCs w:val="16"/>
              </w:rPr>
              <w:br/>
              <w:t>Posterior a ello, a partir de reunión del día 25/05/2015 celebrado entre representantes de la Sociedad FINI S.A.S y de la Subdirección de Calidad del Aire, Auditiva y Visual se acuerda, suspender por segunda vez el Contrato No.1467 de 2014, por un periodo de dos (2) meses a partir de la fecha.</w:t>
            </w:r>
            <w:r w:rsidRPr="00001760">
              <w:rPr>
                <w:rFonts w:ascii="Arial" w:hAnsi="Arial" w:cs="Arial"/>
                <w:b/>
                <w:sz w:val="16"/>
                <w:szCs w:val="16"/>
              </w:rPr>
              <w:br/>
              <w:t xml:space="preserve">En el mes de agosto, se realizó la imposición de cuatro (4) calcomanías, a dos (2) vallas tubulares comercialescomo se menciona a continuación: </w:t>
            </w:r>
            <w:r w:rsidRPr="00001760">
              <w:rPr>
                <w:rFonts w:ascii="Arial" w:hAnsi="Arial" w:cs="Arial"/>
                <w:b/>
                <w:sz w:val="16"/>
                <w:szCs w:val="16"/>
              </w:rPr>
              <w:br/>
              <w:t>1. 14/08/2015. Avenida Carrera 68 No. 64 – 32, Localidad Engativá - Arte Público.</w:t>
            </w:r>
            <w:r w:rsidRPr="00001760">
              <w:rPr>
                <w:rFonts w:ascii="Arial" w:hAnsi="Arial" w:cs="Arial"/>
                <w:b/>
                <w:sz w:val="16"/>
                <w:szCs w:val="16"/>
              </w:rPr>
              <w:br/>
              <w:t>2. 18/08/2015. Autopista Sur No. 38 – 48 Sur, Liceo Moderno Walt Whitman</w:t>
            </w:r>
            <w:r w:rsidRPr="00001760">
              <w:rPr>
                <w:rFonts w:ascii="Arial" w:hAnsi="Arial" w:cs="Arial"/>
                <w:b/>
                <w:sz w:val="16"/>
                <w:szCs w:val="16"/>
              </w:rPr>
              <w:br/>
              <w:t>Para el mes de septiembre, este contrato inicio el proceso de liquidación por mutuo acuerdo, debido a que no se logró imponer los cuatro (4) sellos restantes que dice el contrato, ya que no se tuvo acceso por parte de los propietarios a los predios.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Calidad del Paisaje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375/2015</w:t>
            </w:r>
            <w:r w:rsidRPr="00001760">
              <w:rPr>
                <w:rFonts w:ascii="Arial" w:hAnsi="Arial" w:cs="Arial"/>
                <w:b/>
                <w:sz w:val="16"/>
                <w:szCs w:val="16"/>
              </w:rPr>
              <w:br/>
              <w:t>377/2015</w:t>
            </w:r>
            <w:r w:rsidRPr="00001760">
              <w:rPr>
                <w:rFonts w:ascii="Arial" w:hAnsi="Arial" w:cs="Arial"/>
                <w:b/>
                <w:sz w:val="16"/>
                <w:szCs w:val="16"/>
              </w:rPr>
              <w:br/>
              <w:t>523/2015</w:t>
            </w:r>
            <w:r w:rsidRPr="00001760">
              <w:rPr>
                <w:rFonts w:ascii="Arial" w:hAnsi="Arial" w:cs="Arial"/>
                <w:b/>
                <w:sz w:val="16"/>
                <w:szCs w:val="16"/>
              </w:rPr>
              <w:br/>
              <w:t>1154/2015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43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LEGALIZAR EL 50%  DE LOS REGISTROS DE PUBLICIDAD EXTERIOR VISUAL EN BOGOTÁ</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operativos de control y seguimiento para el desmonte de publicidad exterior visual ilegal, en el marco de convenios o contratos celebrados con terceros.</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br/>
              <w:t xml:space="preserve">Para el año 2015, se desmontaron 89.260 elementos publicitarios por medio de operativos realizados con Alcaldías Locales, la Policía Ambiental - Ecológica y de otra parte con el Convenio SDA - IDIPRON, como se presenta a continuación: </w:t>
            </w:r>
            <w:r w:rsidRPr="00001760">
              <w:rPr>
                <w:rFonts w:ascii="Arial" w:hAnsi="Arial" w:cs="Arial"/>
                <w:b/>
                <w:sz w:val="16"/>
                <w:szCs w:val="16"/>
              </w:rPr>
              <w:br/>
            </w:r>
            <w:r w:rsidRPr="00001760">
              <w:rPr>
                <w:rFonts w:ascii="Arial" w:hAnsi="Arial" w:cs="Arial"/>
                <w:b/>
                <w:sz w:val="16"/>
                <w:szCs w:val="16"/>
              </w:rPr>
              <w:br/>
              <w:t>* La SDA en coordinación con otras Entidades: desmontó 1.209 elementos de Publicidad Exterior Visual en las localidades de Usme (626), Suba (302), Usáquen (155), Mártires (104) y  Chapinero (22).</w:t>
            </w:r>
            <w:r w:rsidRPr="00001760">
              <w:rPr>
                <w:rFonts w:ascii="Arial" w:hAnsi="Arial" w:cs="Arial"/>
                <w:b/>
                <w:sz w:val="16"/>
                <w:szCs w:val="16"/>
              </w:rPr>
              <w:br/>
              <w:t>*Convenio No. 1154 de 2015 entre SDA e IDIPRON</w:t>
            </w:r>
            <w:proofErr w:type="gramStart"/>
            <w:r w:rsidRPr="00001760">
              <w:rPr>
                <w:rFonts w:ascii="Arial" w:hAnsi="Arial" w:cs="Arial"/>
                <w:b/>
                <w:sz w:val="16"/>
                <w:szCs w:val="16"/>
              </w:rPr>
              <w:t>:Para</w:t>
            </w:r>
            <w:proofErr w:type="gramEnd"/>
            <w:r w:rsidRPr="00001760">
              <w:rPr>
                <w:rFonts w:ascii="Arial" w:hAnsi="Arial" w:cs="Arial"/>
                <w:b/>
                <w:sz w:val="16"/>
                <w:szCs w:val="16"/>
              </w:rPr>
              <w:t xml:space="preserve"> el periodo comprendido de junio a diciembre, desmontó 88.051 elementos de Publicidad Exterior Visual entre: afiches, pendones, murales, avisos, y pasacalles correspondientes a 31.595,2 m2 de espacio recuperado.</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Paisaje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w:t>
            </w:r>
          </w:p>
        </w:tc>
      </w:tr>
      <w:tr w:rsidR="00001760" w:rsidRPr="00001760" w:rsidTr="00001760">
        <w:trPr>
          <w:trHeight w:val="3222"/>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LEGALIZAR EL 50%  DE LOS REGISTROS DE PUBLICIDAD EXTERIOR VISUAL EN BOGOTÁ</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Tramitar las solicitudes de registro de elementos de Publicidad Exterior Visual, radicadas en línea</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Para el año 2015,  el grupo de Publicidad Exterior Visual recibió ciento ocho (108)  solicitudes de registro de las cuales, 24 se encuentran en evaluaciòn tècnica, 32 requerimientos numerados, 18 en revisiòn tècnica, 1 revisión juridica, 16 registro aprobado, 12 por asignar y 5 se tramitaron mediante otros procesos. De las cuales 15 solicitudes se recibieron en el mes de diciembre, 3 de ellas se encuentran en revisión técnica y 12 sin asignar.</w:t>
            </w:r>
            <w:r w:rsidRPr="00001760">
              <w:rPr>
                <w:rFonts w:ascii="Arial" w:hAnsi="Arial" w:cs="Arial"/>
                <w:b/>
                <w:sz w:val="16"/>
                <w:szCs w:val="16"/>
              </w:rPr>
              <w:br/>
              <w:t xml:space="preserve"> </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Paisaje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val="restart"/>
            <w:hideMark/>
          </w:tcPr>
          <w:p w:rsidR="00001760" w:rsidRPr="00001760" w:rsidRDefault="00001760" w:rsidP="00001760">
            <w:pPr>
              <w:jc w:val="center"/>
              <w:rPr>
                <w:rFonts w:ascii="Arial" w:hAnsi="Arial" w:cs="Arial"/>
                <w:b/>
                <w:sz w:val="16"/>
                <w:szCs w:val="16"/>
              </w:rPr>
            </w:pPr>
            <w:r w:rsidRPr="00001760">
              <w:rPr>
                <w:rFonts w:ascii="Arial" w:hAnsi="Arial" w:cs="Arial"/>
                <w:b/>
                <w:sz w:val="16"/>
                <w:szCs w:val="16"/>
              </w:rPr>
              <w:t>150/2015</w:t>
            </w:r>
            <w:r w:rsidRPr="00001760">
              <w:rPr>
                <w:rFonts w:ascii="Arial" w:hAnsi="Arial" w:cs="Arial"/>
                <w:b/>
                <w:sz w:val="16"/>
                <w:szCs w:val="16"/>
              </w:rPr>
              <w:br/>
              <w:t>192/2015</w:t>
            </w:r>
            <w:r w:rsidRPr="00001760">
              <w:rPr>
                <w:rFonts w:ascii="Arial" w:hAnsi="Arial" w:cs="Arial"/>
                <w:b/>
                <w:sz w:val="16"/>
                <w:szCs w:val="16"/>
              </w:rPr>
              <w:br/>
              <w:t>203/2015</w:t>
            </w:r>
            <w:r w:rsidRPr="00001760">
              <w:rPr>
                <w:rFonts w:ascii="Arial" w:hAnsi="Arial" w:cs="Arial"/>
                <w:b/>
                <w:sz w:val="16"/>
                <w:szCs w:val="16"/>
              </w:rPr>
              <w:br/>
              <w:t>205/2015</w:t>
            </w:r>
            <w:r w:rsidRPr="00001760">
              <w:rPr>
                <w:rFonts w:ascii="Arial" w:hAnsi="Arial" w:cs="Arial"/>
                <w:b/>
                <w:sz w:val="16"/>
                <w:szCs w:val="16"/>
              </w:rPr>
              <w:br/>
              <w:t>211/2015</w:t>
            </w:r>
            <w:r w:rsidRPr="00001760">
              <w:rPr>
                <w:rFonts w:ascii="Arial" w:hAnsi="Arial" w:cs="Arial"/>
                <w:b/>
                <w:sz w:val="16"/>
                <w:szCs w:val="16"/>
              </w:rPr>
              <w:br/>
              <w:t>217/2015</w:t>
            </w:r>
            <w:r w:rsidRPr="00001760">
              <w:rPr>
                <w:rFonts w:ascii="Arial" w:hAnsi="Arial" w:cs="Arial"/>
                <w:b/>
                <w:sz w:val="16"/>
                <w:szCs w:val="16"/>
              </w:rPr>
              <w:br/>
              <w:t>220/2015</w:t>
            </w:r>
            <w:r w:rsidRPr="00001760">
              <w:rPr>
                <w:rFonts w:ascii="Arial" w:hAnsi="Arial" w:cs="Arial"/>
                <w:b/>
                <w:sz w:val="16"/>
                <w:szCs w:val="16"/>
              </w:rPr>
              <w:br/>
              <w:t>259/2015</w:t>
            </w:r>
            <w:r w:rsidRPr="00001760">
              <w:rPr>
                <w:rFonts w:ascii="Arial" w:hAnsi="Arial" w:cs="Arial"/>
                <w:b/>
                <w:sz w:val="16"/>
                <w:szCs w:val="16"/>
              </w:rPr>
              <w:br/>
              <w:t>298/2015</w:t>
            </w:r>
            <w:r w:rsidRPr="00001760">
              <w:rPr>
                <w:rFonts w:ascii="Arial" w:hAnsi="Arial" w:cs="Arial"/>
                <w:b/>
                <w:sz w:val="16"/>
                <w:szCs w:val="16"/>
              </w:rPr>
              <w:br/>
              <w:t>357/2015</w:t>
            </w:r>
            <w:r w:rsidRPr="00001760">
              <w:rPr>
                <w:rFonts w:ascii="Arial" w:hAnsi="Arial" w:cs="Arial"/>
                <w:b/>
                <w:sz w:val="16"/>
                <w:szCs w:val="16"/>
              </w:rPr>
              <w:br/>
              <w:t>382/2015</w:t>
            </w:r>
            <w:r w:rsidRPr="00001760">
              <w:rPr>
                <w:rFonts w:ascii="Arial" w:hAnsi="Arial" w:cs="Arial"/>
                <w:b/>
                <w:sz w:val="16"/>
                <w:szCs w:val="16"/>
              </w:rPr>
              <w:br/>
              <w:t>383/2015</w:t>
            </w:r>
            <w:r w:rsidRPr="00001760">
              <w:rPr>
                <w:rFonts w:ascii="Arial" w:hAnsi="Arial" w:cs="Arial"/>
                <w:b/>
                <w:sz w:val="16"/>
                <w:szCs w:val="16"/>
              </w:rPr>
              <w:br/>
              <w:t>409/2015</w:t>
            </w:r>
            <w:r w:rsidRPr="00001760">
              <w:rPr>
                <w:rFonts w:ascii="Arial" w:hAnsi="Arial" w:cs="Arial"/>
                <w:b/>
                <w:sz w:val="16"/>
                <w:szCs w:val="16"/>
              </w:rPr>
              <w:br/>
              <w:t>427/2015</w:t>
            </w:r>
            <w:r w:rsidRPr="00001760">
              <w:rPr>
                <w:rFonts w:ascii="Arial" w:hAnsi="Arial" w:cs="Arial"/>
                <w:b/>
                <w:sz w:val="16"/>
                <w:szCs w:val="16"/>
              </w:rPr>
              <w:br/>
              <w:t>417/2015</w:t>
            </w:r>
            <w:r w:rsidRPr="00001760">
              <w:rPr>
                <w:rFonts w:ascii="Arial" w:hAnsi="Arial" w:cs="Arial"/>
                <w:b/>
                <w:sz w:val="16"/>
                <w:szCs w:val="16"/>
              </w:rPr>
              <w:br/>
              <w:t>428/2015</w:t>
            </w:r>
            <w:r w:rsidRPr="00001760">
              <w:rPr>
                <w:rFonts w:ascii="Arial" w:hAnsi="Arial" w:cs="Arial"/>
                <w:b/>
                <w:sz w:val="16"/>
                <w:szCs w:val="16"/>
              </w:rPr>
              <w:br/>
              <w:t>433/2015</w:t>
            </w:r>
            <w:r w:rsidRPr="00001760">
              <w:rPr>
                <w:rFonts w:ascii="Arial" w:hAnsi="Arial" w:cs="Arial"/>
                <w:b/>
                <w:sz w:val="16"/>
                <w:szCs w:val="16"/>
              </w:rPr>
              <w:br/>
              <w:t>437/2015</w:t>
            </w:r>
            <w:r w:rsidRPr="00001760">
              <w:rPr>
                <w:rFonts w:ascii="Arial" w:hAnsi="Arial" w:cs="Arial"/>
                <w:b/>
                <w:sz w:val="16"/>
                <w:szCs w:val="16"/>
              </w:rPr>
              <w:br/>
              <w:t>439/2015</w:t>
            </w:r>
            <w:r w:rsidRPr="00001760">
              <w:rPr>
                <w:rFonts w:ascii="Arial" w:hAnsi="Arial" w:cs="Arial"/>
                <w:b/>
                <w:sz w:val="16"/>
                <w:szCs w:val="16"/>
              </w:rPr>
              <w:br/>
              <w:t>488/2015</w:t>
            </w:r>
            <w:r w:rsidRPr="00001760">
              <w:rPr>
                <w:rFonts w:ascii="Arial" w:hAnsi="Arial" w:cs="Arial"/>
                <w:b/>
                <w:sz w:val="16"/>
                <w:szCs w:val="16"/>
              </w:rPr>
              <w:br/>
              <w:t>499/2015</w:t>
            </w:r>
            <w:r w:rsidRPr="00001760">
              <w:rPr>
                <w:rFonts w:ascii="Arial" w:hAnsi="Arial" w:cs="Arial"/>
                <w:b/>
                <w:sz w:val="16"/>
                <w:szCs w:val="16"/>
              </w:rPr>
              <w:br/>
              <w:t>503/2015</w:t>
            </w:r>
            <w:r w:rsidRPr="00001760">
              <w:rPr>
                <w:rFonts w:ascii="Arial" w:hAnsi="Arial" w:cs="Arial"/>
                <w:b/>
                <w:sz w:val="16"/>
                <w:szCs w:val="16"/>
              </w:rPr>
              <w:br/>
              <w:t>509/2015</w:t>
            </w:r>
            <w:r w:rsidRPr="00001760">
              <w:rPr>
                <w:rFonts w:ascii="Arial" w:hAnsi="Arial" w:cs="Arial"/>
                <w:b/>
                <w:sz w:val="16"/>
                <w:szCs w:val="16"/>
              </w:rPr>
              <w:br/>
              <w:t>524/2015</w:t>
            </w:r>
            <w:r w:rsidRPr="00001760">
              <w:rPr>
                <w:rFonts w:ascii="Arial" w:hAnsi="Arial" w:cs="Arial"/>
                <w:b/>
                <w:sz w:val="16"/>
                <w:szCs w:val="16"/>
              </w:rPr>
              <w:br/>
              <w:t>576/2015</w:t>
            </w:r>
            <w:r w:rsidRPr="00001760">
              <w:rPr>
                <w:rFonts w:ascii="Arial" w:hAnsi="Arial" w:cs="Arial"/>
                <w:b/>
                <w:sz w:val="16"/>
                <w:szCs w:val="16"/>
              </w:rPr>
              <w:br/>
              <w:t>583/2015</w:t>
            </w:r>
            <w:r w:rsidRPr="00001760">
              <w:rPr>
                <w:rFonts w:ascii="Arial" w:hAnsi="Arial" w:cs="Arial"/>
                <w:b/>
                <w:sz w:val="16"/>
                <w:szCs w:val="16"/>
              </w:rPr>
              <w:br/>
              <w:t>589/2015</w:t>
            </w:r>
            <w:r w:rsidRPr="00001760">
              <w:rPr>
                <w:rFonts w:ascii="Arial" w:hAnsi="Arial" w:cs="Arial"/>
                <w:b/>
                <w:sz w:val="16"/>
                <w:szCs w:val="16"/>
              </w:rPr>
              <w:br/>
              <w:t>619/2015</w:t>
            </w:r>
            <w:r w:rsidRPr="00001760">
              <w:rPr>
                <w:rFonts w:ascii="Arial" w:hAnsi="Arial" w:cs="Arial"/>
                <w:b/>
                <w:sz w:val="16"/>
                <w:szCs w:val="16"/>
              </w:rPr>
              <w:br/>
            </w:r>
            <w:r w:rsidRPr="00001760">
              <w:rPr>
                <w:rFonts w:ascii="Arial" w:hAnsi="Arial" w:cs="Arial"/>
                <w:b/>
                <w:sz w:val="16"/>
                <w:szCs w:val="16"/>
              </w:rPr>
              <w:lastRenderedPageBreak/>
              <w:t>662/2015</w:t>
            </w:r>
            <w:r w:rsidRPr="00001760">
              <w:rPr>
                <w:rFonts w:ascii="Arial" w:hAnsi="Arial" w:cs="Arial"/>
                <w:b/>
                <w:sz w:val="16"/>
                <w:szCs w:val="16"/>
              </w:rPr>
              <w:br/>
              <w:t>679/2015</w:t>
            </w:r>
            <w:r w:rsidRPr="00001760">
              <w:rPr>
                <w:rFonts w:ascii="Arial" w:hAnsi="Arial" w:cs="Arial"/>
                <w:b/>
                <w:sz w:val="16"/>
                <w:szCs w:val="16"/>
              </w:rPr>
              <w:br/>
              <w:t>683/2015</w:t>
            </w:r>
            <w:r w:rsidRPr="00001760">
              <w:rPr>
                <w:rFonts w:ascii="Arial" w:hAnsi="Arial" w:cs="Arial"/>
                <w:b/>
                <w:sz w:val="16"/>
                <w:szCs w:val="16"/>
              </w:rPr>
              <w:br/>
              <w:t>727/2015</w:t>
            </w:r>
            <w:r w:rsidRPr="00001760">
              <w:rPr>
                <w:rFonts w:ascii="Arial" w:hAnsi="Arial" w:cs="Arial"/>
                <w:b/>
                <w:sz w:val="16"/>
                <w:szCs w:val="16"/>
              </w:rPr>
              <w:br/>
              <w:t>799/2015</w:t>
            </w:r>
            <w:r w:rsidRPr="00001760">
              <w:rPr>
                <w:rFonts w:ascii="Arial" w:hAnsi="Arial" w:cs="Arial"/>
                <w:b/>
                <w:sz w:val="16"/>
                <w:szCs w:val="16"/>
              </w:rPr>
              <w:br/>
              <w:t>819/2015</w:t>
            </w:r>
            <w:r w:rsidRPr="00001760">
              <w:rPr>
                <w:rFonts w:ascii="Arial" w:hAnsi="Arial" w:cs="Arial"/>
                <w:b/>
                <w:sz w:val="16"/>
                <w:szCs w:val="16"/>
              </w:rPr>
              <w:br/>
              <w:t>947/2015</w:t>
            </w:r>
            <w:r w:rsidRPr="00001760">
              <w:rPr>
                <w:rFonts w:ascii="Arial" w:hAnsi="Arial" w:cs="Arial"/>
                <w:b/>
                <w:sz w:val="16"/>
                <w:szCs w:val="16"/>
              </w:rPr>
              <w:br/>
              <w:t>1056/2015</w:t>
            </w:r>
            <w:r w:rsidRPr="00001760">
              <w:rPr>
                <w:rFonts w:ascii="Arial" w:hAnsi="Arial" w:cs="Arial"/>
                <w:b/>
                <w:sz w:val="16"/>
                <w:szCs w:val="16"/>
              </w:rPr>
              <w:br/>
              <w:t>1058/2015</w:t>
            </w:r>
            <w:r w:rsidRPr="00001760">
              <w:rPr>
                <w:rFonts w:ascii="Arial" w:hAnsi="Arial" w:cs="Arial"/>
                <w:b/>
                <w:sz w:val="16"/>
                <w:szCs w:val="16"/>
              </w:rPr>
              <w:br/>
              <w:t>1059/2015</w:t>
            </w:r>
            <w:r w:rsidRPr="00001760">
              <w:rPr>
                <w:rFonts w:ascii="Arial" w:hAnsi="Arial" w:cs="Arial"/>
                <w:b/>
                <w:sz w:val="16"/>
                <w:szCs w:val="16"/>
              </w:rPr>
              <w:br/>
              <w:t>1060/2015</w:t>
            </w:r>
            <w:r w:rsidRPr="00001760">
              <w:rPr>
                <w:rFonts w:ascii="Arial" w:hAnsi="Arial" w:cs="Arial"/>
                <w:b/>
                <w:sz w:val="16"/>
                <w:szCs w:val="16"/>
              </w:rPr>
              <w:br/>
              <w:t>1062/2015</w:t>
            </w:r>
            <w:r w:rsidRPr="00001760">
              <w:rPr>
                <w:rFonts w:ascii="Arial" w:hAnsi="Arial" w:cs="Arial"/>
                <w:b/>
                <w:sz w:val="16"/>
                <w:szCs w:val="16"/>
              </w:rPr>
              <w:br/>
              <w:t>1064/2015</w:t>
            </w:r>
            <w:r w:rsidRPr="00001760">
              <w:rPr>
                <w:rFonts w:ascii="Arial" w:hAnsi="Arial" w:cs="Arial"/>
                <w:b/>
                <w:sz w:val="16"/>
                <w:szCs w:val="16"/>
              </w:rPr>
              <w:br/>
              <w:t>1076/2015</w:t>
            </w:r>
            <w:r w:rsidRPr="00001760">
              <w:rPr>
                <w:rFonts w:ascii="Arial" w:hAnsi="Arial" w:cs="Arial"/>
                <w:b/>
                <w:sz w:val="16"/>
                <w:szCs w:val="16"/>
              </w:rPr>
              <w:br/>
              <w:t>1078/2015</w:t>
            </w:r>
            <w:r w:rsidRPr="00001760">
              <w:rPr>
                <w:rFonts w:ascii="Arial" w:hAnsi="Arial" w:cs="Arial"/>
                <w:b/>
                <w:sz w:val="16"/>
                <w:szCs w:val="16"/>
              </w:rPr>
              <w:br/>
              <w:t>1082/2015</w:t>
            </w:r>
            <w:r w:rsidRPr="00001760">
              <w:rPr>
                <w:rFonts w:ascii="Arial" w:hAnsi="Arial" w:cs="Arial"/>
                <w:b/>
                <w:sz w:val="16"/>
                <w:szCs w:val="16"/>
              </w:rPr>
              <w:br/>
              <w:t>1086/2015</w:t>
            </w:r>
            <w:r w:rsidRPr="00001760">
              <w:rPr>
                <w:rFonts w:ascii="Arial" w:hAnsi="Arial" w:cs="Arial"/>
                <w:b/>
                <w:sz w:val="16"/>
                <w:szCs w:val="16"/>
              </w:rPr>
              <w:br/>
              <w:t>1096/2015</w:t>
            </w:r>
            <w:r w:rsidRPr="00001760">
              <w:rPr>
                <w:rFonts w:ascii="Arial" w:hAnsi="Arial" w:cs="Arial"/>
                <w:b/>
                <w:sz w:val="16"/>
                <w:szCs w:val="16"/>
              </w:rPr>
              <w:br/>
              <w:t>1097/2015</w:t>
            </w:r>
            <w:r w:rsidRPr="00001760">
              <w:rPr>
                <w:rFonts w:ascii="Arial" w:hAnsi="Arial" w:cs="Arial"/>
                <w:b/>
                <w:sz w:val="16"/>
                <w:szCs w:val="16"/>
              </w:rPr>
              <w:br/>
              <w:t>1109/2015</w:t>
            </w:r>
            <w:r w:rsidRPr="00001760">
              <w:rPr>
                <w:rFonts w:ascii="Arial" w:hAnsi="Arial" w:cs="Arial"/>
                <w:b/>
                <w:sz w:val="16"/>
                <w:szCs w:val="16"/>
              </w:rPr>
              <w:br/>
              <w:t>1111/2015</w:t>
            </w:r>
            <w:r w:rsidRPr="00001760">
              <w:rPr>
                <w:rFonts w:ascii="Arial" w:hAnsi="Arial" w:cs="Arial"/>
                <w:b/>
                <w:sz w:val="16"/>
                <w:szCs w:val="16"/>
              </w:rPr>
              <w:br/>
              <w:t>1127/2015</w:t>
            </w:r>
            <w:r w:rsidRPr="00001760">
              <w:rPr>
                <w:rFonts w:ascii="Arial" w:hAnsi="Arial" w:cs="Arial"/>
                <w:b/>
                <w:sz w:val="16"/>
                <w:szCs w:val="16"/>
              </w:rPr>
              <w:br/>
              <w:t>344/2015</w:t>
            </w:r>
            <w:r w:rsidRPr="00001760">
              <w:rPr>
                <w:rFonts w:ascii="Arial" w:hAnsi="Arial" w:cs="Arial"/>
                <w:b/>
                <w:sz w:val="16"/>
                <w:szCs w:val="16"/>
              </w:rPr>
              <w:br/>
              <w:t>1141/2015</w:t>
            </w: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67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LEGALIZAR EL 50%  DE LOS REGISTROS DE PUBLICIDAD EXTERIOR VISUAL EN BOGOTÁ</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visitas de control y seguimiento a los elementos de Publicidad exterior visual ilegal.</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Para el año 2015, se han realizado 2.780 visitas de control y seguimiento realizadas por el grupo de Publicidad Exterior; de las cuales 1.791 se realizaron a elementos menores (Requerimientos y seguimientos) y las 989 restantes a elementos mayores.</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Paisaje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67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LEGALIZAR EL 50%  DE LOS REGISTROS DE PUBLICIDAD EXTERIOR VISUAL EN BOGOTÁ</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Generación de actuaciones técnicas y actos administrativos para el seguimiento y control a la Publicidad Exterior Visual en el Distrito Capital.</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Se generaron actuaciones técnicas, juridicas y administrativas correspondientes al control y seguimiento de la PEV en Bogotá, como lo son: registros, requerimientos, conceptos técnicos, Autos, Resoluciones, oficios y otros. </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Paisaje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r w:rsidR="00001760" w:rsidRPr="00001760" w:rsidTr="00001760">
        <w:trPr>
          <w:trHeight w:val="3679"/>
        </w:trPr>
        <w:tc>
          <w:tcPr>
            <w:tcW w:w="1114"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lastRenderedPageBreak/>
              <w:t>574</w:t>
            </w:r>
          </w:p>
        </w:tc>
        <w:tc>
          <w:tcPr>
            <w:tcW w:w="2370"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LEGALIZAR EL 50%  DE LOS REGISTROS DE PUBLICIDAD EXTERIOR VISUAL EN BOGOTÁ</w:t>
            </w:r>
          </w:p>
        </w:tc>
        <w:tc>
          <w:tcPr>
            <w:tcW w:w="3013"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Realizar capacitaciones y reuniones a comerciantes, organizaciones sociales, Gremios, Empresarios, Entidades Gubernamentales y comunidad en general, frente al tema de Publicidad Exterior Visual.</w:t>
            </w:r>
          </w:p>
        </w:tc>
        <w:tc>
          <w:tcPr>
            <w:tcW w:w="2712"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 xml:space="preserve">Para el año 2015, se han realizado diez (10) capacitaciones y sesenta (60) reuniones </w:t>
            </w:r>
          </w:p>
        </w:tc>
        <w:tc>
          <w:tcPr>
            <w:tcW w:w="1418"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Calidad del Paisaje</w:t>
            </w:r>
          </w:p>
        </w:tc>
        <w:tc>
          <w:tcPr>
            <w:tcW w:w="1417" w:type="dxa"/>
            <w:noWrap/>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Control y Vigilancia</w:t>
            </w:r>
          </w:p>
        </w:tc>
        <w:tc>
          <w:tcPr>
            <w:tcW w:w="1985" w:type="dxa"/>
            <w:vMerge/>
            <w:hideMark/>
          </w:tcPr>
          <w:p w:rsidR="00001760" w:rsidRPr="00001760" w:rsidRDefault="00001760" w:rsidP="00001760">
            <w:pPr>
              <w:jc w:val="center"/>
              <w:rPr>
                <w:rFonts w:ascii="Arial" w:hAnsi="Arial" w:cs="Arial"/>
                <w:b/>
                <w:sz w:val="16"/>
                <w:szCs w:val="16"/>
              </w:rPr>
            </w:pPr>
          </w:p>
        </w:tc>
        <w:tc>
          <w:tcPr>
            <w:tcW w:w="3543" w:type="dxa"/>
            <w:hideMark/>
          </w:tcPr>
          <w:p w:rsidR="00001760" w:rsidRPr="00001760" w:rsidRDefault="00001760" w:rsidP="00001760">
            <w:pPr>
              <w:jc w:val="both"/>
              <w:rPr>
                <w:rFonts w:ascii="Arial" w:hAnsi="Arial" w:cs="Arial"/>
                <w:b/>
                <w:sz w:val="16"/>
                <w:szCs w:val="16"/>
              </w:rPr>
            </w:pPr>
            <w:r w:rsidRPr="00001760">
              <w:rPr>
                <w:rFonts w:ascii="Arial" w:hAnsi="Arial" w:cs="Arial"/>
                <w:b/>
                <w:sz w:val="16"/>
                <w:szCs w:val="16"/>
              </w:rPr>
              <w:t>La estrategia Control y vigilancia busca mejorar las condiciones ambientales de Bogotá D.C. y, por ende, la calidad de vida de sus habitantes, ejerciendo acciones de evaluación, seguimiento, monitoreo, control y vigilancia a los procesos de desarrollo de la ciudad.</w:t>
            </w:r>
            <w:r w:rsidRPr="00001760">
              <w:rPr>
                <w:rFonts w:ascii="Arial" w:hAnsi="Arial" w:cs="Arial"/>
                <w:b/>
                <w:sz w:val="16"/>
                <w:szCs w:val="16"/>
              </w:rPr>
              <w:br/>
              <w:t>A través de las distintas herramientas de gestión (redes, visitas, monitoreos, entre otros), se podrán identificar, evaluar y cualificar las actividades contaminantes y su grado de afectación a los recursos naturales, las áreas y población afectadas, a fin de lograr la priorización en las acciones a desarrollar.</w:t>
            </w:r>
            <w:r w:rsidRPr="00001760">
              <w:rPr>
                <w:rFonts w:ascii="Arial" w:hAnsi="Arial" w:cs="Arial"/>
                <w:b/>
                <w:sz w:val="16"/>
                <w:szCs w:val="16"/>
              </w:rPr>
              <w:br/>
              <w:t>El seguimiento y monitoreo permitirá también evaluar la eficacia, pertinencia, oportunidad y alcance de la gestión ambiental realizada en el Distrito Capital, por lo anterior esta actividad apunta al cumplimiento de la normativa aplicable en materia ambiental y a la mejora de la calidad de vida de los ciudadanos mediante su aplicación. (Los contratos asociados a esta actividad dan cumplimiento a la meta del proyecto, por lo anterior directa o indirectamente dan cumplimiento todas las actividades relacionadas con la meta)</w:t>
            </w:r>
          </w:p>
        </w:tc>
      </w:tr>
    </w:tbl>
    <w:p w:rsidR="002573A3" w:rsidRDefault="002573A3" w:rsidP="007562F0">
      <w:pPr>
        <w:rPr>
          <w:rFonts w:ascii="Arial" w:hAnsi="Arial" w:cs="Arial"/>
          <w:b/>
        </w:rPr>
      </w:pPr>
    </w:p>
    <w:p w:rsidR="002573A3" w:rsidRDefault="002573A3" w:rsidP="007562F0">
      <w:pPr>
        <w:rPr>
          <w:rFonts w:ascii="Arial" w:hAnsi="Arial" w:cs="Arial"/>
          <w:b/>
        </w:rPr>
      </w:pPr>
    </w:p>
    <w:tbl>
      <w:tblPr>
        <w:tblStyle w:val="Tablaconcuadrcula"/>
        <w:tblW w:w="0" w:type="auto"/>
        <w:tblLayout w:type="fixed"/>
        <w:tblLook w:val="04A0" w:firstRow="1" w:lastRow="0" w:firstColumn="1" w:lastColumn="0" w:noHBand="0" w:noVBand="1"/>
      </w:tblPr>
      <w:tblGrid>
        <w:gridCol w:w="1129"/>
        <w:gridCol w:w="2410"/>
        <w:gridCol w:w="2977"/>
        <w:gridCol w:w="2693"/>
        <w:gridCol w:w="1447"/>
        <w:gridCol w:w="1767"/>
        <w:gridCol w:w="2385"/>
        <w:gridCol w:w="2952"/>
      </w:tblGrid>
      <w:tr w:rsidR="0082562E" w:rsidRPr="0082562E" w:rsidTr="0082562E">
        <w:trPr>
          <w:trHeight w:val="690"/>
          <w:tblHeader/>
        </w:trPr>
        <w:tc>
          <w:tcPr>
            <w:tcW w:w="17760" w:type="dxa"/>
            <w:gridSpan w:val="8"/>
            <w:shd w:val="clear" w:color="auto" w:fill="BDD6EE" w:themeFill="accent1" w:themeFillTint="66"/>
            <w:vAlign w:val="center"/>
          </w:tcPr>
          <w:p w:rsidR="0082562E" w:rsidRPr="0082562E" w:rsidRDefault="000819FE" w:rsidP="0082562E">
            <w:pPr>
              <w:jc w:val="center"/>
              <w:rPr>
                <w:rFonts w:ascii="Arial" w:hAnsi="Arial" w:cs="Arial"/>
                <w:b/>
                <w:bCs/>
                <w:sz w:val="20"/>
                <w:szCs w:val="16"/>
              </w:rPr>
            </w:pPr>
            <w:r>
              <w:rPr>
                <w:rFonts w:ascii="Arial" w:hAnsi="Arial" w:cs="Arial"/>
                <w:b/>
                <w:bCs/>
                <w:sz w:val="20"/>
                <w:szCs w:val="16"/>
              </w:rPr>
              <w:lastRenderedPageBreak/>
              <w:t xml:space="preserve">131. </w:t>
            </w:r>
            <w:r w:rsidR="0082562E" w:rsidRPr="0082562E">
              <w:rPr>
                <w:rFonts w:ascii="Arial" w:hAnsi="Arial" w:cs="Arial"/>
                <w:b/>
                <w:bCs/>
                <w:sz w:val="20"/>
                <w:szCs w:val="16"/>
              </w:rPr>
              <w:t>Participación ciudadana y educación ambiental como instrumentos de gestión para la apropiación social de los territorios ambientales del Distrito Capital.</w:t>
            </w:r>
          </w:p>
          <w:p w:rsidR="0082562E" w:rsidRPr="0082562E" w:rsidRDefault="000819FE" w:rsidP="0082562E">
            <w:pPr>
              <w:jc w:val="center"/>
              <w:rPr>
                <w:rFonts w:ascii="Arial" w:hAnsi="Arial" w:cs="Arial"/>
                <w:b/>
                <w:bCs/>
                <w:sz w:val="16"/>
                <w:szCs w:val="16"/>
              </w:rPr>
            </w:pPr>
            <w:r>
              <w:rPr>
                <w:rFonts w:ascii="Arial" w:hAnsi="Arial" w:cs="Arial"/>
                <w:b/>
                <w:bCs/>
                <w:sz w:val="20"/>
                <w:szCs w:val="16"/>
              </w:rPr>
              <w:t xml:space="preserve">8.17 </w:t>
            </w:r>
            <w:r w:rsidR="0082562E" w:rsidRPr="0082562E">
              <w:rPr>
                <w:rFonts w:ascii="Arial" w:hAnsi="Arial" w:cs="Arial"/>
                <w:b/>
                <w:bCs/>
                <w:sz w:val="20"/>
                <w:szCs w:val="16"/>
              </w:rPr>
              <w:t>Planeación ambiental participativa, comunicación estratégica y fortalecimiento de procesos de formación para la participación, con énfasis en adaptación al cambio climático.</w:t>
            </w:r>
          </w:p>
        </w:tc>
      </w:tr>
      <w:tr w:rsidR="0082562E" w:rsidRPr="0082562E" w:rsidTr="0082562E">
        <w:trPr>
          <w:trHeight w:val="1890"/>
          <w:tblHeader/>
        </w:trPr>
        <w:tc>
          <w:tcPr>
            <w:tcW w:w="1129"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 xml:space="preserve">PROYECTO DE INVERSIÓN </w:t>
            </w:r>
          </w:p>
        </w:tc>
        <w:tc>
          <w:tcPr>
            <w:tcW w:w="2410"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META PACA</w:t>
            </w:r>
          </w:p>
        </w:tc>
        <w:tc>
          <w:tcPr>
            <w:tcW w:w="2977"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ACTIVIDADES PROGRAMADAS</w:t>
            </w:r>
          </w:p>
        </w:tc>
        <w:tc>
          <w:tcPr>
            <w:tcW w:w="2693"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ACTIVIDADES EJECUTADAS</w:t>
            </w:r>
          </w:p>
        </w:tc>
        <w:tc>
          <w:tcPr>
            <w:tcW w:w="1447"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OBJETIVO PGA</w:t>
            </w:r>
          </w:p>
        </w:tc>
        <w:tc>
          <w:tcPr>
            <w:tcW w:w="1767"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ESTRATEGIA PGA</w:t>
            </w:r>
          </w:p>
        </w:tc>
        <w:tc>
          <w:tcPr>
            <w:tcW w:w="2385"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CONTRATOS MEDIANTE LOS CUALES SE EJECUTÒ LA ACTIVIDAD</w:t>
            </w:r>
          </w:p>
        </w:tc>
        <w:tc>
          <w:tcPr>
            <w:tcW w:w="2952" w:type="dxa"/>
            <w:shd w:val="clear" w:color="auto" w:fill="BDD6EE" w:themeFill="accent1" w:themeFillTint="66"/>
            <w:vAlign w:val="center"/>
          </w:tcPr>
          <w:p w:rsidR="0082562E" w:rsidRPr="0082562E" w:rsidRDefault="0082562E" w:rsidP="0082562E">
            <w:pPr>
              <w:jc w:val="both"/>
              <w:rPr>
                <w:rFonts w:ascii="Arial" w:hAnsi="Arial" w:cs="Arial"/>
                <w:b/>
                <w:bCs/>
                <w:sz w:val="16"/>
                <w:szCs w:val="16"/>
              </w:rPr>
            </w:pPr>
            <w:r w:rsidRPr="0082562E">
              <w:rPr>
                <w:rFonts w:ascii="Arial" w:hAnsi="Arial" w:cs="Arial"/>
                <w:b/>
                <w:bCs/>
                <w:sz w:val="16"/>
                <w:szCs w:val="16"/>
              </w:rPr>
              <w:t>COHERENCIA Y CONCORDANCIA QUE GUARDA CADA ACTIVIDAD CON LOS OBJETIVOS Y ESTRATEGIAS DEL PLAN DE GESTIÓN AMBIENTAL DEL DISTRITO CAPITAL, QUE SIRVIERON DE JUSTIFICACIÓN PARA SU INCORPORACIÓN DENTRO DE PLAN DE ACCIÓN CUATRIENAL AMBIENTAL-PACA</w:t>
            </w:r>
          </w:p>
        </w:tc>
      </w:tr>
      <w:tr w:rsidR="0082562E" w:rsidRPr="0082562E" w:rsidTr="0082562E">
        <w:trPr>
          <w:trHeight w:val="3810"/>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 Diseñar plan de trabajo de las cuatro aulas ambientales administradas por la Secretaria Distrital de Ambiente priorizando las estrategias de educación ambiental que se van a implementar.</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Se diseñaron los planes de trabajo de las cuatro aulas ambientales de acuerdo a las propuestas pedagógicas de cada aula y al proyecto de inversión 131.</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78/2015</w:t>
            </w:r>
            <w:r w:rsidRPr="0082562E">
              <w:rPr>
                <w:rFonts w:ascii="Arial" w:hAnsi="Arial" w:cs="Arial"/>
                <w:b/>
                <w:sz w:val="16"/>
                <w:szCs w:val="16"/>
              </w:rPr>
              <w:br/>
              <w:t>487/2015</w:t>
            </w:r>
            <w:r w:rsidRPr="0082562E">
              <w:rPr>
                <w:rFonts w:ascii="Arial" w:hAnsi="Arial" w:cs="Arial"/>
                <w:b/>
                <w:sz w:val="16"/>
                <w:szCs w:val="16"/>
              </w:rPr>
              <w:br/>
              <w:t>529/2015</w:t>
            </w:r>
            <w:r w:rsidRPr="0082562E">
              <w:rPr>
                <w:rFonts w:ascii="Arial" w:hAnsi="Arial" w:cs="Arial"/>
                <w:b/>
                <w:sz w:val="16"/>
                <w:szCs w:val="16"/>
              </w:rPr>
              <w:br/>
              <w:t>782/2015</w:t>
            </w:r>
          </w:p>
        </w:tc>
        <w:tc>
          <w:tcPr>
            <w:tcW w:w="2952" w:type="dxa"/>
            <w:noWrap/>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las Aulas ambientales: Estrategia de educación ambiental no formal e informal, que busca fortalecer sujetos políticos con capacidad de apropiación social del territorio, de intervención y movilización social para mejorar la calidad de vida de la población y las condiciones de su entorno. Las </w:t>
            </w:r>
            <w:r w:rsidRPr="0082562E">
              <w:rPr>
                <w:rFonts w:ascii="Arial" w:hAnsi="Arial" w:cs="Arial"/>
                <w:b/>
                <w:sz w:val="16"/>
                <w:szCs w:val="16"/>
              </w:rPr>
              <w:lastRenderedPageBreak/>
              <w:t xml:space="preserve">Aulas ambientales buscan convertirse en escenarios abiertos de educación e investigación para la ciudad. </w:t>
            </w:r>
            <w:r w:rsidRPr="0082562E">
              <w:rPr>
                <w:rFonts w:ascii="Arial" w:hAnsi="Arial" w:cs="Arial"/>
                <w:b/>
                <w:sz w:val="16"/>
                <w:szCs w:val="16"/>
              </w:rPr>
              <w:br/>
              <w:t xml:space="preserve">Esta actividad le aporta al desarrollo de esta estrategia. </w:t>
            </w:r>
          </w:p>
        </w:tc>
      </w:tr>
      <w:tr w:rsidR="0082562E" w:rsidRPr="0082562E" w:rsidTr="0082562E">
        <w:trPr>
          <w:trHeight w:val="373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2. Ejecutar las estrategias de educación ambiental priorizadas en el plan de trabajo del aula ambiental Parque Soratama </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Actualización de la propuesta pedagógica y las fichas de recorridos interpretativos. </w:t>
            </w:r>
            <w:r w:rsidRPr="0082562E">
              <w:rPr>
                <w:rFonts w:ascii="Arial" w:hAnsi="Arial" w:cs="Arial"/>
                <w:b/>
                <w:sz w:val="16"/>
                <w:szCs w:val="16"/>
              </w:rPr>
              <w:br/>
              <w:t xml:space="preserve">Se ejecutaron acciones pedagógicas en los ejes temáticos de cambio climático, biodiversidad, gestión del riesgo, agua y manejo integral de residuos sólidos y acciones para el cumplimiento del fallo de Cerros Orientales. Se involucraron en total 15.681 habitantes en esta aula.  </w:t>
            </w:r>
            <w:r w:rsidRPr="0082562E">
              <w:rPr>
                <w:rFonts w:ascii="Arial" w:hAnsi="Arial" w:cs="Arial"/>
                <w:b/>
                <w:sz w:val="16"/>
                <w:szCs w:val="16"/>
              </w:rPr>
              <w:br/>
              <w:t xml:space="preserve">Se dio la implementación de dos proyectos técnicos de aula, los cuales sensibilizaron a actores de comunidades religiosas y se realizó el reconocimiento de la biodiversidad del aula ambiental por medio de la estrategia de servicio social ambiental. </w:t>
            </w:r>
            <w:r w:rsidRPr="0082562E">
              <w:rPr>
                <w:rFonts w:ascii="Arial" w:hAnsi="Arial" w:cs="Arial"/>
                <w:b/>
                <w:sz w:val="16"/>
                <w:szCs w:val="16"/>
              </w:rPr>
              <w:br/>
              <w:t xml:space="preserve">A su vez, se fortaleció el nodo de la Red Ciudadana de Aulas Ambientales. </w:t>
            </w:r>
            <w:r w:rsidRPr="0082562E">
              <w:rPr>
                <w:rFonts w:ascii="Arial" w:hAnsi="Arial" w:cs="Arial"/>
                <w:b/>
                <w:sz w:val="16"/>
                <w:szCs w:val="16"/>
              </w:rPr>
              <w:br/>
              <w:t>Se desarrollaron actividades de conmemoración de los días del calendario ecológico.</w:t>
            </w:r>
            <w:r w:rsidRPr="0082562E">
              <w:rPr>
                <w:rFonts w:ascii="Arial" w:hAnsi="Arial" w:cs="Arial"/>
                <w:b/>
                <w:sz w:val="16"/>
                <w:szCs w:val="16"/>
              </w:rPr>
              <w:br/>
              <w:t xml:space="preserve">Las anteriores actividades se desarrollaron en el marco de las </w:t>
            </w:r>
            <w:r w:rsidRPr="0082562E">
              <w:rPr>
                <w:rFonts w:ascii="Arial" w:hAnsi="Arial" w:cs="Arial"/>
                <w:b/>
                <w:sz w:val="16"/>
                <w:szCs w:val="16"/>
              </w:rPr>
              <w:lastRenderedPageBreak/>
              <w:t>siguientes estrategias de educación ambiental: aulas ambientales, PROCEDAS, PRAES, PRAUS, servicio social ambiental y comunicación y divulgación.</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782/2015</w:t>
            </w:r>
            <w:r w:rsidRPr="0082562E">
              <w:rPr>
                <w:rFonts w:ascii="Arial" w:hAnsi="Arial" w:cs="Arial"/>
                <w:b/>
                <w:sz w:val="16"/>
                <w:szCs w:val="16"/>
              </w:rPr>
              <w:br/>
              <w:t>506/2015</w:t>
            </w:r>
            <w:r w:rsidRPr="0082562E">
              <w:rPr>
                <w:rFonts w:ascii="Arial" w:hAnsi="Arial" w:cs="Arial"/>
                <w:b/>
                <w:sz w:val="16"/>
                <w:szCs w:val="16"/>
              </w:rPr>
              <w:br/>
              <w:t>661/2015</w:t>
            </w:r>
            <w:r w:rsidRPr="0082562E">
              <w:rPr>
                <w:rFonts w:ascii="Arial" w:hAnsi="Arial" w:cs="Arial"/>
                <w:b/>
                <w:sz w:val="16"/>
                <w:szCs w:val="16"/>
              </w:rPr>
              <w:br/>
              <w:t>396/2015</w:t>
            </w:r>
            <w:r w:rsidRPr="0082562E">
              <w:rPr>
                <w:rFonts w:ascii="Arial" w:hAnsi="Arial" w:cs="Arial"/>
                <w:b/>
                <w:sz w:val="16"/>
                <w:szCs w:val="16"/>
              </w:rPr>
              <w:br/>
              <w:t>370/2015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las Aulas ambientales: Estrategia de educación ambiental no formal e informal, que busca fortalecer sujetos políticos con capacidad de apropiación social del territorio, de intervención y movilización social para mejorar la calidad de vida de la población y las condiciones de su entorno. Las </w:t>
            </w:r>
            <w:r w:rsidRPr="0082562E">
              <w:rPr>
                <w:rFonts w:ascii="Arial" w:hAnsi="Arial" w:cs="Arial"/>
                <w:b/>
                <w:sz w:val="16"/>
                <w:szCs w:val="16"/>
              </w:rPr>
              <w:lastRenderedPageBreak/>
              <w:t xml:space="preserve">Aulas ambientales buscan convertirse en escenarios abiertos de educación e investigación para la ciudad. </w:t>
            </w:r>
            <w:r w:rsidRPr="0082562E">
              <w:rPr>
                <w:rFonts w:ascii="Arial" w:hAnsi="Arial" w:cs="Arial"/>
                <w:b/>
                <w:sz w:val="16"/>
                <w:szCs w:val="16"/>
              </w:rPr>
              <w:br/>
              <w:t xml:space="preserve">Esta actividad le aporta al desarrollo de esta estrategia. </w:t>
            </w:r>
          </w:p>
        </w:tc>
      </w:tr>
      <w:tr w:rsidR="0082562E" w:rsidRPr="0082562E" w:rsidTr="0082562E">
        <w:trPr>
          <w:trHeight w:val="3840"/>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 Ejecutar las estrategias de educación ambiental priorizadas en el plan de trabajo del aula ambiental Santa Maria del Lago</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realizó la actualización de la propuesta pedagógica y la ficha del recorrido interpretativo. </w:t>
            </w:r>
            <w:r w:rsidRPr="0082562E">
              <w:rPr>
                <w:rFonts w:ascii="Arial" w:hAnsi="Arial" w:cs="Arial"/>
                <w:b/>
                <w:sz w:val="16"/>
                <w:szCs w:val="16"/>
              </w:rPr>
              <w:br/>
              <w:t>Se ejecutaron acciones pedagógicas en los ejes temáticos de cambio climático, biodiversidad, gestión del riesgo, agua y manejo integral de residuos sólidos y acciones para el cumplimiento del fallo del río Bogotá y de la Política de Humedales del Distrito Capital. Se involucraron un total de 23.172 habitantes en esta aula.</w:t>
            </w:r>
            <w:r w:rsidRPr="0082562E">
              <w:rPr>
                <w:rFonts w:ascii="Arial" w:hAnsi="Arial" w:cs="Arial"/>
                <w:b/>
                <w:sz w:val="16"/>
                <w:szCs w:val="16"/>
              </w:rPr>
              <w:br/>
              <w:t>Se participó en la campaña "Al alma de los humedales".</w:t>
            </w:r>
            <w:r w:rsidRPr="0082562E">
              <w:rPr>
                <w:rFonts w:ascii="Arial" w:hAnsi="Arial" w:cs="Arial"/>
                <w:b/>
                <w:sz w:val="16"/>
                <w:szCs w:val="16"/>
              </w:rPr>
              <w:br/>
              <w:t xml:space="preserve">Se dio la implementación de dos proyectos técnicos de aula, donde se fortaleció el nodo de la Red Ciudadana de Aulas Ambientales y se ejecutó el primer encuentro de actores vinculados al nodo, denominado "Recuperación de la memoria histórica del humedal Santa María del Lago" y simultáneamente se diseñó una cartilla para niños de primera infancia en el eje temático de </w:t>
            </w:r>
            <w:r w:rsidRPr="0082562E">
              <w:rPr>
                <w:rFonts w:ascii="Arial" w:hAnsi="Arial" w:cs="Arial"/>
                <w:b/>
                <w:sz w:val="16"/>
                <w:szCs w:val="16"/>
              </w:rPr>
              <w:lastRenderedPageBreak/>
              <w:t xml:space="preserve">biodiversidad. </w:t>
            </w:r>
            <w:r w:rsidRPr="0082562E">
              <w:rPr>
                <w:rFonts w:ascii="Arial" w:hAnsi="Arial" w:cs="Arial"/>
                <w:b/>
                <w:sz w:val="16"/>
                <w:szCs w:val="16"/>
              </w:rPr>
              <w:br/>
              <w:t>Se desarrollaron actividades de conmemoración de los días del calendario ecológico.</w:t>
            </w:r>
            <w:r w:rsidRPr="0082562E">
              <w:rPr>
                <w:rFonts w:ascii="Arial" w:hAnsi="Arial" w:cs="Arial"/>
                <w:b/>
                <w:sz w:val="16"/>
                <w:szCs w:val="16"/>
              </w:rPr>
              <w:br/>
              <w:t>Las anteriores actividades se desarrollaron en el marco de las siguientes estrategias de educación ambiental: aulas ambientales, proceso de formación a dinamizadores ambientales y comunicación y divulgación.</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487/2015</w:t>
            </w:r>
            <w:r w:rsidRPr="0082562E">
              <w:rPr>
                <w:rFonts w:ascii="Arial" w:hAnsi="Arial" w:cs="Arial"/>
                <w:b/>
                <w:sz w:val="16"/>
                <w:szCs w:val="16"/>
              </w:rPr>
              <w:br/>
              <w:t>334/2015</w:t>
            </w:r>
            <w:r w:rsidRPr="0082562E">
              <w:rPr>
                <w:rFonts w:ascii="Arial" w:hAnsi="Arial" w:cs="Arial"/>
                <w:b/>
                <w:sz w:val="16"/>
                <w:szCs w:val="16"/>
              </w:rPr>
              <w:br/>
              <w:t>190/2015</w:t>
            </w:r>
            <w:r w:rsidRPr="0082562E">
              <w:rPr>
                <w:rFonts w:ascii="Arial" w:hAnsi="Arial" w:cs="Arial"/>
                <w:b/>
                <w:sz w:val="16"/>
                <w:szCs w:val="16"/>
              </w:rPr>
              <w:br/>
              <w:t>309/2015</w:t>
            </w:r>
            <w:r w:rsidRPr="0082562E">
              <w:rPr>
                <w:rFonts w:ascii="Arial" w:hAnsi="Arial" w:cs="Arial"/>
                <w:b/>
                <w:sz w:val="16"/>
                <w:szCs w:val="16"/>
              </w:rPr>
              <w:br/>
              <w:t>229/2015</w:t>
            </w:r>
            <w:r w:rsidRPr="0082562E">
              <w:rPr>
                <w:rFonts w:ascii="Arial" w:hAnsi="Arial" w:cs="Arial"/>
                <w:b/>
                <w:sz w:val="16"/>
                <w:szCs w:val="16"/>
              </w:rPr>
              <w:br/>
              <w:t>323/2015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las Aulas ambientales: Estrategia de educación ambiental no formal e informal, que busca fortalecer sujetos políticos con capacidad de apropiación social del territorio, de intervención y movilización social para mejorar la calidad de vida de la población y las condiciones de su entorno. Las </w:t>
            </w:r>
            <w:r w:rsidRPr="0082562E">
              <w:rPr>
                <w:rFonts w:ascii="Arial" w:hAnsi="Arial" w:cs="Arial"/>
                <w:b/>
                <w:sz w:val="16"/>
                <w:szCs w:val="16"/>
              </w:rPr>
              <w:lastRenderedPageBreak/>
              <w:t xml:space="preserve">Aulas ambientales buscan convertirse en escenarios abiertos de educación e investigación para la ciudad. </w:t>
            </w:r>
            <w:r w:rsidRPr="0082562E">
              <w:rPr>
                <w:rFonts w:ascii="Arial" w:hAnsi="Arial" w:cs="Arial"/>
                <w:b/>
                <w:sz w:val="16"/>
                <w:szCs w:val="16"/>
              </w:rPr>
              <w:br/>
              <w:t xml:space="preserve">Esta actividad le aporta al desarrollo de esta estrategia. </w:t>
            </w:r>
          </w:p>
        </w:tc>
      </w:tr>
      <w:tr w:rsidR="0082562E" w:rsidRPr="0082562E" w:rsidTr="0082562E">
        <w:trPr>
          <w:trHeight w:val="3690"/>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 Ejecutar las estrategias de educación ambiental priorizadas en el plan de trabajo del aula ambiental Parque Ecológico Distrital de Montaña Entrenubes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realizó la actualización de la propuesta pedagógica y de las fichas de los ocho (8) recorridos interpretativos. </w:t>
            </w:r>
            <w:r w:rsidRPr="0082562E">
              <w:rPr>
                <w:rFonts w:ascii="Arial" w:hAnsi="Arial" w:cs="Arial"/>
                <w:b/>
                <w:sz w:val="16"/>
                <w:szCs w:val="16"/>
              </w:rPr>
              <w:br/>
              <w:t xml:space="preserve">Se ejecutaron acciones pedagógicas en los ejes temáticos de cambio climático, biodiversidad, gestión del riesgo, agua y manejo integral de residuos sólidos y acciones para el cumplimiento del fallo de Cerros Orientales. Se involucraron un total de 30.573 habitantes en esta aula. </w:t>
            </w:r>
            <w:r w:rsidRPr="0082562E">
              <w:rPr>
                <w:rFonts w:ascii="Arial" w:hAnsi="Arial" w:cs="Arial"/>
                <w:b/>
                <w:sz w:val="16"/>
                <w:szCs w:val="16"/>
              </w:rPr>
              <w:br/>
              <w:t xml:space="preserve">Se dio la implementación de dos proyectos técnicos de aula, donde se realizaron acciones para el reconocimiento de las dinámicas socio-ambientales de la quebrada Yomasa, acciones pedagógicas donde se elaboró el insectario de la artropofauna del parque Entrenubes y se fortaleció el nodo de la Red Ciudadana de Aulas Ambientales, realizando el primer encuentro de actores vinculados al nodo Entrenubes. </w:t>
            </w:r>
            <w:r w:rsidRPr="0082562E">
              <w:rPr>
                <w:rFonts w:ascii="Arial" w:hAnsi="Arial" w:cs="Arial"/>
                <w:b/>
                <w:sz w:val="16"/>
                <w:szCs w:val="16"/>
              </w:rPr>
              <w:br/>
              <w:t xml:space="preserve">Se desarrollaron actividades de </w:t>
            </w:r>
            <w:r w:rsidRPr="0082562E">
              <w:rPr>
                <w:rFonts w:ascii="Arial" w:hAnsi="Arial" w:cs="Arial"/>
                <w:b/>
                <w:sz w:val="16"/>
                <w:szCs w:val="16"/>
              </w:rPr>
              <w:lastRenderedPageBreak/>
              <w:t>conmemoración de los días del calendario ecológico.</w:t>
            </w:r>
            <w:r w:rsidRPr="0082562E">
              <w:rPr>
                <w:rFonts w:ascii="Arial" w:hAnsi="Arial" w:cs="Arial"/>
                <w:b/>
                <w:sz w:val="16"/>
                <w:szCs w:val="16"/>
              </w:rPr>
              <w:br/>
              <w:t>Las anteriores actividades se desarrollaron en el marco de las siguientes estrategias de educación ambiental: aulas ambientales, PROCEDAS, PRAES, PRAUS, servicio social ambiental y comunicación y divulgación.</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529/2015</w:t>
            </w:r>
            <w:r w:rsidRPr="0082562E">
              <w:rPr>
                <w:rFonts w:ascii="Arial" w:hAnsi="Arial" w:cs="Arial"/>
                <w:b/>
                <w:sz w:val="16"/>
                <w:szCs w:val="16"/>
              </w:rPr>
              <w:br/>
              <w:t>288/2015</w:t>
            </w:r>
            <w:r w:rsidRPr="0082562E">
              <w:rPr>
                <w:rFonts w:ascii="Arial" w:hAnsi="Arial" w:cs="Arial"/>
                <w:b/>
                <w:sz w:val="16"/>
                <w:szCs w:val="16"/>
              </w:rPr>
              <w:br/>
              <w:t>394/2015</w:t>
            </w:r>
            <w:r w:rsidRPr="0082562E">
              <w:rPr>
                <w:rFonts w:ascii="Arial" w:hAnsi="Arial" w:cs="Arial"/>
                <w:b/>
                <w:sz w:val="16"/>
                <w:szCs w:val="16"/>
              </w:rPr>
              <w:br/>
              <w:t>374/2015</w:t>
            </w:r>
            <w:r w:rsidRPr="0082562E">
              <w:rPr>
                <w:rFonts w:ascii="Arial" w:hAnsi="Arial" w:cs="Arial"/>
                <w:b/>
                <w:sz w:val="16"/>
                <w:szCs w:val="16"/>
              </w:rPr>
              <w:br/>
              <w:t>691/2015</w:t>
            </w:r>
            <w:r w:rsidRPr="0082562E">
              <w:rPr>
                <w:rFonts w:ascii="Arial" w:hAnsi="Arial" w:cs="Arial"/>
                <w:b/>
                <w:sz w:val="16"/>
                <w:szCs w:val="16"/>
              </w:rPr>
              <w:br/>
              <w:t>166/2015</w:t>
            </w:r>
            <w:r w:rsidRPr="0082562E">
              <w:rPr>
                <w:rFonts w:ascii="Arial" w:hAnsi="Arial" w:cs="Arial"/>
                <w:b/>
                <w:sz w:val="16"/>
                <w:szCs w:val="16"/>
              </w:rPr>
              <w:br/>
              <w:t>230/2015</w:t>
            </w:r>
            <w:r w:rsidRPr="0082562E">
              <w:rPr>
                <w:rFonts w:ascii="Arial" w:hAnsi="Arial" w:cs="Arial"/>
                <w:b/>
                <w:sz w:val="16"/>
                <w:szCs w:val="16"/>
              </w:rPr>
              <w:br/>
              <w:t>287/2015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las Aulas ambientales: Estrategia de educación ambiental no formal e informal, que busca fortalecer sujetos políticos con capacidad de apropiación social del territorio, de intervención y movilización social para mejorar la calidad de vida de la población y las condiciones de su entorno. Las </w:t>
            </w:r>
            <w:r w:rsidRPr="0082562E">
              <w:rPr>
                <w:rFonts w:ascii="Arial" w:hAnsi="Arial" w:cs="Arial"/>
                <w:b/>
                <w:sz w:val="16"/>
                <w:szCs w:val="16"/>
              </w:rPr>
              <w:lastRenderedPageBreak/>
              <w:t xml:space="preserve">Aulas ambientales buscan convertirse en escenarios abiertos de educación e investigación para la ciudad. </w:t>
            </w:r>
            <w:r w:rsidRPr="0082562E">
              <w:rPr>
                <w:rFonts w:ascii="Arial" w:hAnsi="Arial" w:cs="Arial"/>
                <w:b/>
                <w:sz w:val="16"/>
                <w:szCs w:val="16"/>
              </w:rPr>
              <w:br/>
              <w:t xml:space="preserve">Esta actividad le aporta al desarrollo de esta estrategia. </w:t>
            </w:r>
          </w:p>
        </w:tc>
      </w:tr>
      <w:tr w:rsidR="0082562E" w:rsidRPr="0082562E" w:rsidTr="0082562E">
        <w:trPr>
          <w:trHeight w:val="367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5. Ejecutar las estrategias de educación ambiental priorizadas en el plan de trabajo del aula ambiental Parque Mirador de los Nevados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realizó la actualización de la propuesta pedagógica y de la ficha del recorrido interpretativo. </w:t>
            </w:r>
            <w:r w:rsidRPr="0082562E">
              <w:rPr>
                <w:rFonts w:ascii="Arial" w:hAnsi="Arial" w:cs="Arial"/>
                <w:b/>
                <w:sz w:val="16"/>
                <w:szCs w:val="16"/>
              </w:rPr>
              <w:br/>
              <w:t>Se ejecutaron acciones pedagógicas en los ejes temáticos de cambio climático, biodiversidad, gestión del riesgo, agua y manejo integral de residuos sólidos y acciones para el cumplimiento del fallo del río Bogotá. Se involucraron un total de 22.565 habitantes en esta aula.</w:t>
            </w:r>
            <w:r w:rsidRPr="0082562E">
              <w:rPr>
                <w:rFonts w:ascii="Arial" w:hAnsi="Arial" w:cs="Arial"/>
                <w:b/>
                <w:sz w:val="16"/>
                <w:szCs w:val="16"/>
              </w:rPr>
              <w:br/>
              <w:t xml:space="preserve">Se dio la implementación de dos proyectos técnicos de aula, donde se realizaron la ficha de acción pedagógica del río Bogotá, un proceso de formación con énfasis en el río Bogotá, se elaboró una cartilla de gobernanza del agua para la primera infancia y se fortaleció el nodo de la Red Ciudadana de Aulas Ambientales. </w:t>
            </w:r>
            <w:r w:rsidRPr="0082562E">
              <w:rPr>
                <w:rFonts w:ascii="Arial" w:hAnsi="Arial" w:cs="Arial"/>
                <w:b/>
                <w:sz w:val="16"/>
                <w:szCs w:val="16"/>
              </w:rPr>
              <w:br/>
              <w:t>Se desarrollaron actividades de conmemoración de los días del calendario ecológico.</w:t>
            </w:r>
            <w:r w:rsidRPr="0082562E">
              <w:rPr>
                <w:rFonts w:ascii="Arial" w:hAnsi="Arial" w:cs="Arial"/>
                <w:b/>
                <w:sz w:val="16"/>
                <w:szCs w:val="16"/>
              </w:rPr>
              <w:br/>
              <w:t xml:space="preserve">Las anteriores actividades se desarrollaron en el marco de las </w:t>
            </w:r>
            <w:r w:rsidRPr="0082562E">
              <w:rPr>
                <w:rFonts w:ascii="Arial" w:hAnsi="Arial" w:cs="Arial"/>
                <w:b/>
                <w:sz w:val="16"/>
                <w:szCs w:val="16"/>
              </w:rPr>
              <w:lastRenderedPageBreak/>
              <w:t>estrategias de educación ambiental: aulas ambientales y comunicación y divulgación.</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78/2015</w:t>
            </w:r>
            <w:r w:rsidRPr="0082562E">
              <w:rPr>
                <w:rFonts w:ascii="Arial" w:hAnsi="Arial" w:cs="Arial"/>
                <w:b/>
                <w:sz w:val="16"/>
                <w:szCs w:val="16"/>
              </w:rPr>
              <w:br/>
              <w:t>514/2015</w:t>
            </w:r>
            <w:r w:rsidRPr="0082562E">
              <w:rPr>
                <w:rFonts w:ascii="Arial" w:hAnsi="Arial" w:cs="Arial"/>
                <w:b/>
                <w:sz w:val="16"/>
                <w:szCs w:val="16"/>
              </w:rPr>
              <w:br/>
              <w:t>270/2015</w:t>
            </w:r>
            <w:r w:rsidRPr="0082562E">
              <w:rPr>
                <w:rFonts w:ascii="Arial" w:hAnsi="Arial" w:cs="Arial"/>
                <w:b/>
                <w:sz w:val="16"/>
                <w:szCs w:val="16"/>
              </w:rPr>
              <w:br/>
              <w:t>854/2015</w:t>
            </w:r>
            <w:r w:rsidRPr="0082562E">
              <w:rPr>
                <w:rFonts w:ascii="Arial" w:hAnsi="Arial" w:cs="Arial"/>
                <w:b/>
                <w:sz w:val="16"/>
                <w:szCs w:val="16"/>
              </w:rPr>
              <w:br/>
              <w:t>290/2015</w:t>
            </w:r>
            <w:r w:rsidRPr="0082562E">
              <w:rPr>
                <w:rFonts w:ascii="Arial" w:hAnsi="Arial" w:cs="Arial"/>
                <w:b/>
                <w:sz w:val="16"/>
                <w:szCs w:val="16"/>
              </w:rPr>
              <w:br/>
              <w:t>901/2015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las Aulas ambientales: Estrategia de educación ambiental no formal e informal, que busca fortalecer sujetos políticos con capacidad de apropiación social del territorio, de intervención y movilización social para mejorar la calidad de vida de la población y las condiciones de su entorno. Las </w:t>
            </w:r>
            <w:r w:rsidRPr="0082562E">
              <w:rPr>
                <w:rFonts w:ascii="Arial" w:hAnsi="Arial" w:cs="Arial"/>
                <w:b/>
                <w:sz w:val="16"/>
                <w:szCs w:val="16"/>
              </w:rPr>
              <w:lastRenderedPageBreak/>
              <w:t xml:space="preserve">Aulas ambientales buscan convertirse en escenarios abiertos de educación e investigación para la ciudad. </w:t>
            </w:r>
            <w:r w:rsidRPr="0082562E">
              <w:rPr>
                <w:rFonts w:ascii="Arial" w:hAnsi="Arial" w:cs="Arial"/>
                <w:b/>
                <w:sz w:val="16"/>
                <w:szCs w:val="16"/>
              </w:rPr>
              <w:br/>
              <w:t xml:space="preserve">Esta actividad le aporta al desarrollo de esta estrategia. </w:t>
            </w:r>
          </w:p>
        </w:tc>
      </w:tr>
      <w:tr w:rsidR="0082562E" w:rsidRPr="0082562E" w:rsidTr="0082562E">
        <w:trPr>
          <w:trHeight w:val="397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6. Atención focalizada acorde a situaciones ambientalmente conflictivas en el Distrito Capital en el marco de las estrategias de educación ambiental, mediante la ejecución de acciones pedagógicas.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Durante la vigencia 2015, se desarrollaron 2080 acciones pedagógicas en el marco del PRAE de diferentes instituciones educativas, distritales y privadas, en procesos de comunicación y divulgación con las comunidades y en concordancia con los PROCEDAS que se adelantan en las 20 localidades del Distrito Capital. Los ejes temáticos más solicitados y desarrollados fueron el manejo integral de residuos sólidos y la gobernanza del agua, abarcando colegios, empresas, barrios y organizaciones, instituciones públicas, hospitales, centros comerciales, entre otros.</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176/2015</w:t>
            </w:r>
            <w:r w:rsidRPr="0082562E">
              <w:rPr>
                <w:rFonts w:ascii="Arial" w:hAnsi="Arial" w:cs="Arial"/>
                <w:b/>
                <w:sz w:val="16"/>
                <w:szCs w:val="16"/>
              </w:rPr>
              <w:br/>
              <w:t>210/2015</w:t>
            </w:r>
            <w:r w:rsidRPr="0082562E">
              <w:rPr>
                <w:rFonts w:ascii="Arial" w:hAnsi="Arial" w:cs="Arial"/>
                <w:b/>
                <w:sz w:val="16"/>
                <w:szCs w:val="16"/>
              </w:rPr>
              <w:br/>
              <w:t>212/2015</w:t>
            </w:r>
            <w:r w:rsidRPr="0082562E">
              <w:rPr>
                <w:rFonts w:ascii="Arial" w:hAnsi="Arial" w:cs="Arial"/>
                <w:b/>
                <w:sz w:val="16"/>
                <w:szCs w:val="16"/>
              </w:rPr>
              <w:br/>
              <w:t>216/2015</w:t>
            </w:r>
            <w:r w:rsidRPr="0082562E">
              <w:rPr>
                <w:rFonts w:ascii="Arial" w:hAnsi="Arial" w:cs="Arial"/>
                <w:b/>
                <w:sz w:val="16"/>
                <w:szCs w:val="16"/>
              </w:rPr>
              <w:br/>
              <w:t>273/2015</w:t>
            </w:r>
            <w:r w:rsidRPr="0082562E">
              <w:rPr>
                <w:rFonts w:ascii="Arial" w:hAnsi="Arial" w:cs="Arial"/>
                <w:b/>
                <w:sz w:val="16"/>
                <w:szCs w:val="16"/>
              </w:rPr>
              <w:br/>
              <w:t>283/2015</w:t>
            </w:r>
            <w:r w:rsidRPr="0082562E">
              <w:rPr>
                <w:rFonts w:ascii="Arial" w:hAnsi="Arial" w:cs="Arial"/>
                <w:b/>
                <w:sz w:val="16"/>
                <w:szCs w:val="16"/>
              </w:rPr>
              <w:br/>
              <w:t>296/2015</w:t>
            </w:r>
            <w:r w:rsidRPr="0082562E">
              <w:rPr>
                <w:rFonts w:ascii="Arial" w:hAnsi="Arial" w:cs="Arial"/>
                <w:b/>
                <w:sz w:val="16"/>
                <w:szCs w:val="16"/>
              </w:rPr>
              <w:br/>
              <w:t>393/2015</w:t>
            </w:r>
            <w:r w:rsidRPr="0082562E">
              <w:rPr>
                <w:rFonts w:ascii="Arial" w:hAnsi="Arial" w:cs="Arial"/>
                <w:b/>
                <w:sz w:val="16"/>
                <w:szCs w:val="16"/>
              </w:rPr>
              <w:br/>
              <w:t>399/2015</w:t>
            </w:r>
            <w:r w:rsidRPr="0082562E">
              <w:rPr>
                <w:rFonts w:ascii="Arial" w:hAnsi="Arial" w:cs="Arial"/>
                <w:b/>
                <w:sz w:val="16"/>
                <w:szCs w:val="16"/>
              </w:rPr>
              <w:br/>
              <w:t>400/2015</w:t>
            </w:r>
            <w:r w:rsidRPr="0082562E">
              <w:rPr>
                <w:rFonts w:ascii="Arial" w:hAnsi="Arial" w:cs="Arial"/>
                <w:b/>
                <w:sz w:val="16"/>
                <w:szCs w:val="16"/>
              </w:rPr>
              <w:br/>
              <w:t>401/2015</w:t>
            </w:r>
            <w:r w:rsidRPr="0082562E">
              <w:rPr>
                <w:rFonts w:ascii="Arial" w:hAnsi="Arial" w:cs="Arial"/>
                <w:b/>
                <w:sz w:val="16"/>
                <w:szCs w:val="16"/>
              </w:rPr>
              <w:br/>
              <w:t>414/2015</w:t>
            </w:r>
            <w:r w:rsidRPr="0082562E">
              <w:rPr>
                <w:rFonts w:ascii="Arial" w:hAnsi="Arial" w:cs="Arial"/>
                <w:b/>
                <w:sz w:val="16"/>
                <w:szCs w:val="16"/>
              </w:rPr>
              <w:br/>
              <w:t>415/2015</w:t>
            </w:r>
            <w:r w:rsidRPr="0082562E">
              <w:rPr>
                <w:rFonts w:ascii="Arial" w:hAnsi="Arial" w:cs="Arial"/>
                <w:b/>
                <w:sz w:val="16"/>
                <w:szCs w:val="16"/>
              </w:rPr>
              <w:br/>
              <w:t>479/2015</w:t>
            </w:r>
            <w:r w:rsidRPr="0082562E">
              <w:rPr>
                <w:rFonts w:ascii="Arial" w:hAnsi="Arial" w:cs="Arial"/>
                <w:b/>
                <w:sz w:val="16"/>
                <w:szCs w:val="16"/>
              </w:rPr>
              <w:br/>
              <w:t>511/2015</w:t>
            </w:r>
            <w:r w:rsidRPr="0082562E">
              <w:rPr>
                <w:rFonts w:ascii="Arial" w:hAnsi="Arial" w:cs="Arial"/>
                <w:b/>
                <w:sz w:val="16"/>
                <w:szCs w:val="16"/>
              </w:rPr>
              <w:br/>
              <w:t>515/2015</w:t>
            </w:r>
            <w:r w:rsidRPr="0082562E">
              <w:rPr>
                <w:rFonts w:ascii="Arial" w:hAnsi="Arial" w:cs="Arial"/>
                <w:b/>
                <w:sz w:val="16"/>
                <w:szCs w:val="16"/>
              </w:rPr>
              <w:br/>
              <w:t>517/2015</w:t>
            </w:r>
            <w:r w:rsidRPr="0082562E">
              <w:rPr>
                <w:rFonts w:ascii="Arial" w:hAnsi="Arial" w:cs="Arial"/>
                <w:b/>
                <w:sz w:val="16"/>
                <w:szCs w:val="16"/>
              </w:rPr>
              <w:br/>
              <w:t>530/2015</w:t>
            </w:r>
            <w:r w:rsidRPr="0082562E">
              <w:rPr>
                <w:rFonts w:ascii="Arial" w:hAnsi="Arial" w:cs="Arial"/>
                <w:b/>
                <w:sz w:val="16"/>
                <w:szCs w:val="16"/>
              </w:rPr>
              <w:br/>
              <w:t>535/2015</w:t>
            </w:r>
            <w:r w:rsidRPr="0082562E">
              <w:rPr>
                <w:rFonts w:ascii="Arial" w:hAnsi="Arial" w:cs="Arial"/>
                <w:b/>
                <w:sz w:val="16"/>
                <w:szCs w:val="16"/>
              </w:rPr>
              <w:br/>
              <w:t>588/2015</w:t>
            </w:r>
            <w:r w:rsidRPr="0082562E">
              <w:rPr>
                <w:rFonts w:ascii="Arial" w:hAnsi="Arial" w:cs="Arial"/>
                <w:b/>
                <w:sz w:val="16"/>
                <w:szCs w:val="16"/>
              </w:rPr>
              <w:br/>
              <w:t>716/2015</w:t>
            </w:r>
            <w:r w:rsidRPr="0082562E">
              <w:rPr>
                <w:rFonts w:ascii="Arial" w:hAnsi="Arial" w:cs="Arial"/>
                <w:b/>
                <w:sz w:val="16"/>
                <w:szCs w:val="16"/>
              </w:rPr>
              <w:br/>
              <w:t>780/2015</w:t>
            </w:r>
            <w:r w:rsidRPr="0082562E">
              <w:rPr>
                <w:rFonts w:ascii="Arial" w:hAnsi="Arial" w:cs="Arial"/>
                <w:b/>
                <w:sz w:val="16"/>
                <w:szCs w:val="16"/>
              </w:rPr>
              <w:br/>
              <w:t>785/2015</w:t>
            </w:r>
            <w:r w:rsidRPr="0082562E">
              <w:rPr>
                <w:rFonts w:ascii="Arial" w:hAnsi="Arial" w:cs="Arial"/>
                <w:b/>
                <w:sz w:val="16"/>
                <w:szCs w:val="16"/>
              </w:rPr>
              <w:br/>
              <w:t>783/2015</w:t>
            </w:r>
            <w:r w:rsidRPr="0082562E">
              <w:rPr>
                <w:rFonts w:ascii="Arial" w:hAnsi="Arial" w:cs="Arial"/>
                <w:b/>
                <w:sz w:val="16"/>
                <w:szCs w:val="16"/>
              </w:rPr>
              <w:br/>
              <w:t>840/2015</w:t>
            </w:r>
            <w:r w:rsidRPr="0082562E">
              <w:rPr>
                <w:rFonts w:ascii="Arial" w:hAnsi="Arial" w:cs="Arial"/>
                <w:b/>
                <w:sz w:val="16"/>
                <w:szCs w:val="16"/>
              </w:rPr>
              <w:br/>
              <w:t>975/2015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los PROCEDA: Orienta y apoya los Procesos Ciudadanos de Educación Ambiental en el distrito, que “son entendidos como proyectos continuos de educación no formal, inscritos en un proceso de transformación y construcción de nuevas dinámicas sobre el territorio; así mismo los PROCEDA </w:t>
            </w:r>
            <w:r w:rsidRPr="0082562E">
              <w:rPr>
                <w:rFonts w:ascii="Arial" w:hAnsi="Arial" w:cs="Arial"/>
                <w:b/>
                <w:sz w:val="16"/>
                <w:szCs w:val="16"/>
              </w:rPr>
              <w:lastRenderedPageBreak/>
              <w:t>buscan acercar al ciudadano del común a problemáticas ambientales en lo local, lo regional, lo nacional y lo global, proponiendo el cambio de las prácticas de vida de los sujetos frente a su entorno”.</w:t>
            </w:r>
          </w:p>
        </w:tc>
      </w:tr>
      <w:tr w:rsidR="0082562E" w:rsidRPr="0082562E" w:rsidTr="0082562E">
        <w:trPr>
          <w:trHeight w:val="427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 Planeación y ejecución de acciones de educación ambiental, en el marco del aula itinerante  AUAMBARI en las localidades del Distrito Capital.</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realizaron las siguientes actividades en los ocho (8) territorios ambientales del Distrito Capital de acuerdo al plan de trabajo del aula: </w:t>
            </w:r>
            <w:r w:rsidRPr="0082562E">
              <w:rPr>
                <w:rFonts w:ascii="Arial" w:hAnsi="Arial" w:cs="Arial"/>
                <w:b/>
                <w:sz w:val="16"/>
                <w:szCs w:val="16"/>
              </w:rPr>
              <w:br/>
              <w:t xml:space="preserve">Se realizó la actualización de la propuesta pedagógica. </w:t>
            </w:r>
            <w:r w:rsidRPr="0082562E">
              <w:rPr>
                <w:rFonts w:ascii="Arial" w:hAnsi="Arial" w:cs="Arial"/>
                <w:b/>
                <w:sz w:val="16"/>
                <w:szCs w:val="16"/>
              </w:rPr>
              <w:br/>
              <w:t xml:space="preserve">Se ejecutaron acciones pedagógicas en los ejes temáticos de cambio climático, biodiversidad, gestión del riesgo, agua y manejo integral de residuos sólidos, acciones para el cumplimiento del fallo del río Bogotá y se desarrollaron actividades de conmemoración de los días del calendario ecológico. Se estableció la estrategia de educación propia. </w:t>
            </w:r>
            <w:r w:rsidRPr="0082562E">
              <w:rPr>
                <w:rFonts w:ascii="Arial" w:hAnsi="Arial" w:cs="Arial"/>
                <w:b/>
                <w:sz w:val="16"/>
                <w:szCs w:val="16"/>
              </w:rPr>
              <w:br/>
              <w:t>Las anteriores actividades se desarrollaron en el marco de las estrategias de educación ambiental: aulas ambientales, servicio social ambiental y comunicación y divulgación.</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359/2015</w:t>
            </w:r>
            <w:r w:rsidRPr="0082562E">
              <w:rPr>
                <w:rFonts w:ascii="Arial" w:hAnsi="Arial" w:cs="Arial"/>
                <w:b/>
                <w:sz w:val="16"/>
                <w:szCs w:val="16"/>
              </w:rPr>
              <w:br/>
              <w:t>410/2015</w:t>
            </w:r>
            <w:r w:rsidRPr="0082562E">
              <w:rPr>
                <w:rFonts w:ascii="Arial" w:hAnsi="Arial" w:cs="Arial"/>
                <w:b/>
                <w:sz w:val="16"/>
                <w:szCs w:val="16"/>
              </w:rPr>
              <w:br/>
              <w:t>432/2015</w:t>
            </w:r>
            <w:r w:rsidRPr="0082562E">
              <w:rPr>
                <w:rFonts w:ascii="Arial" w:hAnsi="Arial" w:cs="Arial"/>
                <w:b/>
                <w:sz w:val="16"/>
                <w:szCs w:val="16"/>
              </w:rPr>
              <w:br/>
              <w:t>485/2015</w:t>
            </w:r>
            <w:r w:rsidRPr="0082562E">
              <w:rPr>
                <w:rFonts w:ascii="Arial" w:hAnsi="Arial" w:cs="Arial"/>
                <w:b/>
                <w:sz w:val="16"/>
                <w:szCs w:val="16"/>
              </w:rPr>
              <w:br/>
              <w:t>498/2015</w:t>
            </w:r>
            <w:r w:rsidRPr="0082562E">
              <w:rPr>
                <w:rFonts w:ascii="Arial" w:hAnsi="Arial" w:cs="Arial"/>
                <w:b/>
                <w:sz w:val="16"/>
                <w:szCs w:val="16"/>
              </w:rPr>
              <w:br/>
              <w:t>597/2015</w:t>
            </w:r>
            <w:r w:rsidRPr="0082562E">
              <w:rPr>
                <w:rFonts w:ascii="Arial" w:hAnsi="Arial" w:cs="Arial"/>
                <w:b/>
                <w:sz w:val="16"/>
                <w:szCs w:val="16"/>
              </w:rPr>
              <w:br/>
              <w:t>825/2015</w:t>
            </w:r>
            <w:r w:rsidRPr="0082562E">
              <w:rPr>
                <w:rFonts w:ascii="Arial" w:hAnsi="Arial" w:cs="Arial"/>
                <w:b/>
                <w:sz w:val="16"/>
                <w:szCs w:val="16"/>
              </w:rPr>
              <w:br/>
              <w:t>969/2015</w:t>
            </w:r>
            <w:r w:rsidRPr="0082562E">
              <w:rPr>
                <w:rFonts w:ascii="Arial" w:hAnsi="Arial" w:cs="Arial"/>
                <w:b/>
                <w:sz w:val="16"/>
                <w:szCs w:val="16"/>
              </w:rPr>
              <w:br/>
              <w:t>992/2015</w:t>
            </w:r>
            <w:r w:rsidRPr="0082562E">
              <w:rPr>
                <w:rFonts w:ascii="Arial" w:hAnsi="Arial" w:cs="Arial"/>
                <w:b/>
                <w:sz w:val="16"/>
                <w:szCs w:val="16"/>
              </w:rPr>
              <w:br/>
              <w:t>1005/2015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las Aulas ambientales: Estrategia de educación ambiental no formal e informal, que busca fortalecer sujetos políticos con capacidad de apropiación social del territorio, de intervención y movilización social para mejorar la calidad de vida de la población y las condiciones de su entorno. Las </w:t>
            </w:r>
            <w:r w:rsidRPr="0082562E">
              <w:rPr>
                <w:rFonts w:ascii="Arial" w:hAnsi="Arial" w:cs="Arial"/>
                <w:b/>
                <w:sz w:val="16"/>
                <w:szCs w:val="16"/>
              </w:rPr>
              <w:lastRenderedPageBreak/>
              <w:t xml:space="preserve">Aulas ambientales buscan convertirse en escenarios abiertos de educación e investigación para la ciudad.  Como no en todas las localidades se cuenta con Aulas Ambientales físicas, AUAMBARI es una apuesta para potencializar la estrategia de aulas en todo el territorio del Distrito Capital. </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8. Planeación y ejecución de procesos de formación  en temáticas ambientales: manejo de residuos sólidos, agua, cambio climático, biodiversidad y las demás requeridas por la ciudadanía.</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En la vigencia 2015, se desarrollaron por parte de la OPEL, 16 procesos de formación ambiental en especial en las localidades de Suba, Fontibón y Chapinero, vinculando a la población del Distrito Capital en el reconocimiento de procesos como la gobernanza del agua, el cambio climático y el manejo de los residuos.</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296/2015</w:t>
            </w:r>
            <w:r w:rsidRPr="0082562E">
              <w:rPr>
                <w:rFonts w:ascii="Arial" w:hAnsi="Arial" w:cs="Arial"/>
                <w:b/>
                <w:sz w:val="16"/>
                <w:szCs w:val="16"/>
              </w:rPr>
              <w:br/>
              <w:t>393/2015</w:t>
            </w:r>
            <w:r w:rsidRPr="0082562E">
              <w:rPr>
                <w:rFonts w:ascii="Arial" w:hAnsi="Arial" w:cs="Arial"/>
                <w:b/>
                <w:sz w:val="16"/>
                <w:szCs w:val="16"/>
              </w:rPr>
              <w:br/>
              <w:t>414/2015</w:t>
            </w:r>
            <w:r w:rsidRPr="0082562E">
              <w:rPr>
                <w:rFonts w:ascii="Arial" w:hAnsi="Arial" w:cs="Arial"/>
                <w:b/>
                <w:sz w:val="16"/>
                <w:szCs w:val="16"/>
              </w:rPr>
              <w:br/>
              <w:t>415/2015</w:t>
            </w:r>
            <w:r w:rsidRPr="0082562E">
              <w:rPr>
                <w:rFonts w:ascii="Arial" w:hAnsi="Arial" w:cs="Arial"/>
                <w:b/>
                <w:sz w:val="16"/>
                <w:szCs w:val="16"/>
              </w:rPr>
              <w:br/>
              <w:t>511/2015</w:t>
            </w:r>
            <w:r w:rsidRPr="0082562E">
              <w:rPr>
                <w:rFonts w:ascii="Arial" w:hAnsi="Arial" w:cs="Arial"/>
                <w:b/>
                <w:sz w:val="16"/>
                <w:szCs w:val="16"/>
              </w:rPr>
              <w:br/>
              <w:t>515/2015</w:t>
            </w:r>
            <w:r w:rsidRPr="0082562E">
              <w:rPr>
                <w:rFonts w:ascii="Arial" w:hAnsi="Arial" w:cs="Arial"/>
                <w:b/>
                <w:sz w:val="16"/>
                <w:szCs w:val="16"/>
              </w:rPr>
              <w:br/>
              <w:t>535/2015</w:t>
            </w:r>
            <w:r w:rsidRPr="0082562E">
              <w:rPr>
                <w:rFonts w:ascii="Arial" w:hAnsi="Arial" w:cs="Arial"/>
                <w:b/>
                <w:sz w:val="16"/>
                <w:szCs w:val="16"/>
              </w:rPr>
              <w:br/>
              <w:t>782/2015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t xml:space="preserve">Una de las estrategias de la PPDEA son los PROCEDA: Orienta y apoya los Procesos Ciudadanos de Educación Ambiental en el distrito, que “son entendidos como proyectos continuos de educación no formal, inscritos en un proceso de transformación y construcción de nuevas dinámicas sobre el territorio; así mismo los PROCEDA </w:t>
            </w:r>
            <w:r w:rsidRPr="0082562E">
              <w:rPr>
                <w:rFonts w:ascii="Arial" w:hAnsi="Arial" w:cs="Arial"/>
                <w:b/>
                <w:sz w:val="16"/>
                <w:szCs w:val="16"/>
              </w:rPr>
              <w:lastRenderedPageBreak/>
              <w:t>buscan acercar al ciudadano del común a problemáticas ambientales en lo local, lo regional, lo nacional y lo global, proponiendo el cambio de las prácticas de vida de los sujetos frente a su entorno”.</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9. Ejecución de caminatas ecológicas en los elementos de la Estructura Ecológica Principal y áreas ambientales.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Se desarrollaron 167 caminatas ecológicas, en especial en las localidades de Chapinero, Barrios Unidos y Suba.</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345/2015</w:t>
            </w:r>
            <w:r w:rsidRPr="0082562E">
              <w:rPr>
                <w:rFonts w:ascii="Arial" w:hAnsi="Arial" w:cs="Arial"/>
                <w:b/>
                <w:sz w:val="16"/>
                <w:szCs w:val="16"/>
              </w:rPr>
              <w:br/>
              <w:t>296/2015</w:t>
            </w:r>
            <w:r w:rsidRPr="0082562E">
              <w:rPr>
                <w:rFonts w:ascii="Arial" w:hAnsi="Arial" w:cs="Arial"/>
                <w:b/>
                <w:sz w:val="16"/>
                <w:szCs w:val="16"/>
              </w:rPr>
              <w:br/>
              <w:t>393/2015</w:t>
            </w:r>
            <w:r w:rsidRPr="0082562E">
              <w:rPr>
                <w:rFonts w:ascii="Arial" w:hAnsi="Arial" w:cs="Arial"/>
                <w:b/>
                <w:sz w:val="16"/>
                <w:szCs w:val="16"/>
              </w:rPr>
              <w:br/>
              <w:t>414/2015</w:t>
            </w:r>
            <w:r w:rsidRPr="0082562E">
              <w:rPr>
                <w:rFonts w:ascii="Arial" w:hAnsi="Arial" w:cs="Arial"/>
                <w:b/>
                <w:sz w:val="16"/>
                <w:szCs w:val="16"/>
              </w:rPr>
              <w:br/>
              <w:t>415/2015</w:t>
            </w:r>
            <w:r w:rsidRPr="0082562E">
              <w:rPr>
                <w:rFonts w:ascii="Arial" w:hAnsi="Arial" w:cs="Arial"/>
                <w:b/>
                <w:sz w:val="16"/>
                <w:szCs w:val="16"/>
              </w:rPr>
              <w:br/>
              <w:t>479/2015</w:t>
            </w:r>
            <w:r w:rsidRPr="0082562E">
              <w:rPr>
                <w:rFonts w:ascii="Arial" w:hAnsi="Arial" w:cs="Arial"/>
                <w:b/>
                <w:sz w:val="16"/>
                <w:szCs w:val="16"/>
              </w:rPr>
              <w:br/>
              <w:t>511/2015</w:t>
            </w:r>
            <w:r w:rsidRPr="0082562E">
              <w:rPr>
                <w:rFonts w:ascii="Arial" w:hAnsi="Arial" w:cs="Arial"/>
                <w:b/>
                <w:sz w:val="16"/>
                <w:szCs w:val="16"/>
              </w:rPr>
              <w:br/>
              <w:t>515/2015</w:t>
            </w:r>
            <w:r w:rsidRPr="0082562E">
              <w:rPr>
                <w:rFonts w:ascii="Arial" w:hAnsi="Arial" w:cs="Arial"/>
                <w:b/>
                <w:sz w:val="16"/>
                <w:szCs w:val="16"/>
              </w:rPr>
              <w:br/>
              <w:t>530/2015</w:t>
            </w:r>
            <w:r w:rsidRPr="0082562E">
              <w:rPr>
                <w:rFonts w:ascii="Arial" w:hAnsi="Arial" w:cs="Arial"/>
                <w:b/>
                <w:sz w:val="16"/>
                <w:szCs w:val="16"/>
              </w:rPr>
              <w:br/>
              <w:t>535/2015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La estrategia de educación ambiental apunta al desarrollo de la Política Pública Distrital de Educación Ambiental –PPDEA, que es un instrumento relevante para la construcción de una nueva ética ambiental que coadyuve a la mejora de las condiciones de vida de quienes transitan, disfrutan y habitan en el Distrito Capital, a partir del reconocimiento de procesos y relaciones territoriales, históricas, simbólicas y socioculturales, desde las cuales, se contextualizan y territorializan las situaciones ambientales (problemáticas, potencialidades o conflictos) y las acciones pertinentes para su abordaje. </w:t>
            </w:r>
            <w:r w:rsidRPr="0082562E">
              <w:rPr>
                <w:rFonts w:ascii="Arial" w:hAnsi="Arial" w:cs="Arial"/>
                <w:b/>
                <w:sz w:val="16"/>
                <w:szCs w:val="16"/>
              </w:rPr>
              <w:br/>
            </w:r>
            <w:r w:rsidRPr="0082562E">
              <w:rPr>
                <w:rFonts w:ascii="Arial" w:hAnsi="Arial" w:cs="Arial"/>
                <w:b/>
                <w:sz w:val="16"/>
                <w:szCs w:val="16"/>
              </w:rPr>
              <w:lastRenderedPageBreak/>
              <w:t>Una de las estrategias de la PPDEA es el Senderismo y Ecoturismo: Es una estrategia en educación ambiental que busca orientar las acciones pedagógicas a seguir para la implementación de estas prácticas de forma controlada y dirigida, produciendo un mínimo impacto sobre los ecosistemas, respetado el patrimonio cultural y natural, propendiendo por el reconocimiento y apropiación de la ciudad con los actores involucrados. Se articula con la estrategia de Manejo Físico y Ecourbanismo, con la identificación de “hitos ambientales” que rescaten y posicionen el patrimonio ambiental como referentes importantes para los ciudadanos; el rescate del saber ancestral, popular y tradicional como valor agregado de la riqueza ambiental de Bogotá</w:t>
            </w:r>
          </w:p>
        </w:tc>
      </w:tr>
      <w:tr w:rsidR="0082562E" w:rsidRPr="0082562E" w:rsidTr="0082562E">
        <w:trPr>
          <w:trHeight w:val="4200"/>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10. Gestión para el fortalecimiento de la Comisión Intersectorial de Educación Ambiental –CIDEA D.C</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adelantaron cuatro (4) sesiones de la Comisión, en las cuales se definieron y aprobaron los componentes a tener en cuenta en el Plan de Acción para la vigencia 2015. </w:t>
            </w:r>
            <w:r w:rsidRPr="0082562E">
              <w:rPr>
                <w:rFonts w:ascii="Arial" w:hAnsi="Arial" w:cs="Arial"/>
                <w:b/>
                <w:sz w:val="16"/>
                <w:szCs w:val="16"/>
              </w:rPr>
              <w:br/>
            </w:r>
            <w:r w:rsidRPr="0082562E">
              <w:rPr>
                <w:rFonts w:ascii="Arial" w:hAnsi="Arial" w:cs="Arial"/>
                <w:b/>
                <w:sz w:val="16"/>
                <w:szCs w:val="16"/>
              </w:rPr>
              <w:br/>
              <w:t>Inclusión del link CIDEA en el Observatorio Ambiental de Bogotá, se presentó una propuesta sobre el Servicio Social Ambiental de Bogotá, elaborada de manera conjunta con las entidades participantes a la Comisión y revisada con la Secretaría de Educación Distrital. Y se aprobó la proyección de la CIDEA para 2016.</w:t>
            </w:r>
            <w:r w:rsidRPr="0082562E">
              <w:rPr>
                <w:rFonts w:ascii="Arial" w:hAnsi="Arial" w:cs="Arial"/>
                <w:b/>
                <w:sz w:val="16"/>
                <w:szCs w:val="16"/>
              </w:rPr>
              <w:br/>
            </w:r>
            <w:r w:rsidRPr="0082562E">
              <w:rPr>
                <w:rFonts w:ascii="Arial" w:hAnsi="Arial" w:cs="Arial"/>
                <w:b/>
                <w:sz w:val="16"/>
                <w:szCs w:val="16"/>
              </w:rPr>
              <w:br/>
              <w:t xml:space="preserve">Se realizaron catorce (14) reuniones de UTA, en las cuales se definieron los componentes del Plan de Acción y se le dio ejecución al mismo. Dos de las reuniones, se llevaron a cabo los días 23 de febrero y 22 de mayo de 2015, siendo estas específicas para realizar el </w:t>
            </w:r>
            <w:r w:rsidRPr="0082562E">
              <w:rPr>
                <w:rFonts w:ascii="Arial" w:hAnsi="Arial" w:cs="Arial"/>
                <w:b/>
                <w:sz w:val="16"/>
                <w:szCs w:val="16"/>
              </w:rPr>
              <w:lastRenderedPageBreak/>
              <w:t xml:space="preserve">seguimiento al Plan de Educación Ambiental en el marco del fallo de Cerros Orientales. </w:t>
            </w:r>
            <w:r w:rsidRPr="0082562E">
              <w:rPr>
                <w:rFonts w:ascii="Arial" w:hAnsi="Arial" w:cs="Arial"/>
                <w:b/>
                <w:sz w:val="16"/>
                <w:szCs w:val="16"/>
              </w:rPr>
              <w:br/>
            </w:r>
            <w:r w:rsidRPr="0082562E">
              <w:rPr>
                <w:rFonts w:ascii="Arial" w:hAnsi="Arial" w:cs="Arial"/>
                <w:b/>
                <w:sz w:val="16"/>
                <w:szCs w:val="16"/>
              </w:rPr>
              <w:br/>
              <w:t>Se adelantaron trece (13) reuniones de Secretaría Técnica, en las cuales se propusieron las actividades específicas del Plan de Acción 2015 y el seguimiento de las mismas y se realizaron las convocatorias a las diferentes reuniones de UTA y CIDEA. De la misma manera, se realizó la propuesta de la proyección 2016.</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82/2015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Esta actividad le aporta a la estrategia de educación ambiental, ya que en el marco de la Política Pública Distrital de Educación Ambiental -PPDEA- está establecida la instancia de gestión y participación como el Comité Interinstitucional de Educación Ambiental –CIDEA. El CIDEA es un espacio pedagógico que orienta y coordina los procesos de educación ambiental y la gestión para el desarrollo de la PPDEA. Dentro de la proyección del CIDEA es importante destacar la responsabilidad que ejerce la secretaría técnica de éste, liderada por las secretarías de Educación y de Ambiente, las cuales prestarán la asesoría a las demás entidades para el desarrollo de la estrategia y a las instituciones educativas para la inclusión de la dimensión ambiental en el currículo y la formulación de los Proyectos Ambientales Escolares –PRAE. </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310_Involucrar un total de 2.400.000 habitantes en estrategias de educación e investigación ambiental para la apropiación social de los territorios del agua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11. Ejecutar las actividades  de Educación Ambiental para dar cumplimiento a lo establecido en los fallos judiciales, sentencia de Segunda Instancia del Consejo de Estado C.P Marco Antonio Velilla, Río Bogota, Sentencia T908 de 2012 Hacienda lo Molinos y Cerros Orientales. </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Durante el periodo 2015, se implementaron acciones pedagógicas enfocadas en el cumplimiento de fallos judiciales, en la localidad Rafael Uribe Uribe con el proceso de Hacienda Molinos. En las localidades de Usaquén, Chapinero, Santa fe, San Cristóbal y Usme en  desarrollo del programa de educación ambiental para Cerros Orientales. El aula ambiental Santa María del Lago y el Aula Ambiental Mirador de los Nevados se desarrollaron actividades en torno al rio Bogotá, se celebró la conmemoración del día del río Bogotá.</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spacing w:after="160"/>
              <w:jc w:val="both"/>
              <w:rPr>
                <w:rFonts w:ascii="Arial" w:hAnsi="Arial" w:cs="Arial"/>
                <w:b/>
                <w:sz w:val="16"/>
                <w:szCs w:val="16"/>
              </w:rPr>
            </w:pPr>
            <w:r w:rsidRPr="0082562E">
              <w:rPr>
                <w:rFonts w:ascii="Arial" w:hAnsi="Arial" w:cs="Arial"/>
                <w:b/>
                <w:sz w:val="16"/>
                <w:szCs w:val="16"/>
              </w:rPr>
              <w:t>273/2015</w:t>
            </w:r>
            <w:r w:rsidRPr="0082562E">
              <w:rPr>
                <w:rFonts w:ascii="Arial" w:hAnsi="Arial" w:cs="Arial"/>
                <w:b/>
                <w:sz w:val="16"/>
                <w:szCs w:val="16"/>
              </w:rPr>
              <w:br/>
              <w:t>296/2015</w:t>
            </w:r>
            <w:r w:rsidRPr="0082562E">
              <w:rPr>
                <w:rFonts w:ascii="Arial" w:hAnsi="Arial" w:cs="Arial"/>
                <w:b/>
                <w:sz w:val="16"/>
                <w:szCs w:val="16"/>
              </w:rPr>
              <w:br/>
              <w:t>393/2015</w:t>
            </w:r>
            <w:r w:rsidRPr="0082562E">
              <w:rPr>
                <w:rFonts w:ascii="Arial" w:hAnsi="Arial" w:cs="Arial"/>
                <w:b/>
                <w:sz w:val="16"/>
                <w:szCs w:val="16"/>
              </w:rPr>
              <w:br/>
              <w:t>399/2015</w:t>
            </w:r>
            <w:r w:rsidRPr="0082562E">
              <w:rPr>
                <w:rFonts w:ascii="Arial" w:hAnsi="Arial" w:cs="Arial"/>
                <w:b/>
                <w:sz w:val="16"/>
                <w:szCs w:val="16"/>
              </w:rPr>
              <w:br/>
              <w:t>414/2015</w:t>
            </w:r>
            <w:r w:rsidRPr="0082562E">
              <w:rPr>
                <w:rFonts w:ascii="Arial" w:hAnsi="Arial" w:cs="Arial"/>
                <w:b/>
                <w:sz w:val="16"/>
                <w:szCs w:val="16"/>
              </w:rPr>
              <w:br/>
              <w:t>415/2015</w:t>
            </w:r>
            <w:r w:rsidRPr="0082562E">
              <w:rPr>
                <w:rFonts w:ascii="Arial" w:hAnsi="Arial" w:cs="Arial"/>
                <w:b/>
                <w:sz w:val="16"/>
                <w:szCs w:val="16"/>
              </w:rPr>
              <w:br/>
              <w:t>479/2015</w:t>
            </w:r>
            <w:r w:rsidRPr="0082562E">
              <w:rPr>
                <w:rFonts w:ascii="Arial" w:hAnsi="Arial" w:cs="Arial"/>
                <w:b/>
                <w:sz w:val="16"/>
                <w:szCs w:val="16"/>
              </w:rPr>
              <w:br/>
              <w:t>511/2015</w:t>
            </w:r>
            <w:r w:rsidRPr="0082562E">
              <w:rPr>
                <w:rFonts w:ascii="Arial" w:hAnsi="Arial" w:cs="Arial"/>
                <w:b/>
                <w:sz w:val="16"/>
                <w:szCs w:val="16"/>
              </w:rPr>
              <w:br/>
              <w:t>515/2015</w:t>
            </w:r>
            <w:r w:rsidRPr="0082562E">
              <w:rPr>
                <w:rFonts w:ascii="Arial" w:hAnsi="Arial" w:cs="Arial"/>
                <w:b/>
                <w:sz w:val="16"/>
                <w:szCs w:val="16"/>
              </w:rPr>
              <w:br/>
              <w:t>530/2015</w:t>
            </w:r>
            <w:r w:rsidRPr="0082562E">
              <w:rPr>
                <w:rFonts w:ascii="Arial" w:hAnsi="Arial" w:cs="Arial"/>
                <w:b/>
                <w:sz w:val="16"/>
                <w:szCs w:val="16"/>
              </w:rPr>
              <w:br/>
              <w:t>535/2015</w:t>
            </w:r>
            <w:r w:rsidRPr="0082562E">
              <w:rPr>
                <w:rFonts w:ascii="Arial" w:hAnsi="Arial" w:cs="Arial"/>
                <w:b/>
                <w:sz w:val="16"/>
                <w:szCs w:val="16"/>
              </w:rPr>
              <w:br/>
              <w:t>716/2015</w:t>
            </w:r>
            <w:r w:rsidRPr="0082562E">
              <w:rPr>
                <w:rFonts w:ascii="Arial" w:hAnsi="Arial" w:cs="Arial"/>
                <w:b/>
                <w:sz w:val="16"/>
                <w:szCs w:val="16"/>
              </w:rPr>
              <w:br/>
              <w:t>786/2015</w:t>
            </w:r>
            <w:r w:rsidRPr="0082562E">
              <w:rPr>
                <w:rFonts w:ascii="Arial" w:hAnsi="Arial" w:cs="Arial"/>
                <w:b/>
                <w:sz w:val="16"/>
                <w:szCs w:val="16"/>
              </w:rPr>
              <w:br/>
            </w:r>
          </w:p>
        </w:tc>
        <w:tc>
          <w:tcPr>
            <w:tcW w:w="2952" w:type="dxa"/>
            <w:hideMark/>
          </w:tcPr>
          <w:p w:rsidR="001C6580" w:rsidRPr="0082562E" w:rsidRDefault="001C6580" w:rsidP="0082562E">
            <w:pPr>
              <w:spacing w:after="160"/>
              <w:jc w:val="both"/>
              <w:rPr>
                <w:rFonts w:ascii="Arial" w:hAnsi="Arial" w:cs="Arial"/>
                <w:b/>
                <w:sz w:val="16"/>
                <w:szCs w:val="16"/>
              </w:rPr>
            </w:pPr>
            <w:r w:rsidRPr="0082562E">
              <w:rPr>
                <w:rFonts w:ascii="Arial" w:hAnsi="Arial" w:cs="Arial"/>
                <w:b/>
                <w:sz w:val="16"/>
                <w:szCs w:val="16"/>
              </w:rPr>
              <w:t xml:space="preserve">En el marco de las actividades de Educación Ambiental se debe dar cumplimiento a lo establecido en los fallos judiciales, sentencia de Segunda Instancia del Consejo de Estado C.P Marco Antonio Velilla, Río Bogota, Sentencia T908 de 2012 Hacienda lo Molinos y Cerros Orientales. </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312_Vincular 400 organizaciones sociales y ambientales a procesos de participación ciudadana para la gobernanza comunitaria del agua en 20 localidades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12. Generar información geográfica a partir del análisis de las dinámicas participativas asociadas a la gestión ambiental. considerando los datos de información geográfica con el fin de ampliar los registros cartográficos del Sistema de Epacialización Ambiental Participativo</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Durante la vigencia 2015 se sistematizó la información reportada en los formatos de georreferenciación por parte de los profesionales de Educación y Participación. En dichos formatos se incluyen las tareas y acciones gestionadas por la OPEL. Para el caso del proceso de Educación se reportan Acciones Pedagógicas y Procesos de Formación, mientras que para el proceso de Participación se reportan los Espacios e Instancias de Participación, las Estrategias de Gobierno (Plan 70/100, Gobiernos Zonales, etc), las Jornadas de Intervención en Territorio, los Procesos de Vinculación, así como otras Acciones de Gestión Institucional. Estos datos se convirtieron en objetos que alimentan el Sistema de Espacialización Ambiental Participativo y que a su vez integran el Sistema de Información Geográfica </w:t>
            </w:r>
            <w:r w:rsidRPr="0082562E">
              <w:rPr>
                <w:rFonts w:ascii="Arial" w:hAnsi="Arial" w:cs="Arial"/>
                <w:b/>
                <w:sz w:val="16"/>
                <w:szCs w:val="16"/>
              </w:rPr>
              <w:lastRenderedPageBreak/>
              <w:t>Institucional. Finalmente, se generó cartografía de apoyo a los procesos de Participación y Educación.</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noWrap/>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51/2015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Esta actividad permite aportar a la estrategia de participación para optimizar los flujos de información de los actores involucrados en los procesos de participación en el Distrito Capital. </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312_Vincular 400 organizaciones sociales y ambientales a procesos de participación ciudadana para la gobernanza comunitaria del agua en 20 localidades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13. Fortalecer y dinamizar las 20  comisiones ambientales Locales como instancia de participación ciudadana, que dinamiza y promueve  procesos de  participación  y gestión  ambiental del territorio.</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Se realizó la convocatoria y secretaría técnica de comisiones ambientales en las 20 localidades de la ciudad.</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71/2015</w:t>
            </w:r>
            <w:r w:rsidRPr="0082562E">
              <w:rPr>
                <w:rFonts w:ascii="Arial" w:hAnsi="Arial" w:cs="Arial"/>
                <w:b/>
                <w:sz w:val="16"/>
                <w:szCs w:val="16"/>
              </w:rPr>
              <w:br/>
              <w:t>106/2015</w:t>
            </w:r>
            <w:r w:rsidRPr="0082562E">
              <w:rPr>
                <w:rFonts w:ascii="Arial" w:hAnsi="Arial" w:cs="Arial"/>
                <w:b/>
                <w:sz w:val="16"/>
                <w:szCs w:val="16"/>
              </w:rPr>
              <w:br/>
              <w:t>108/2015</w:t>
            </w:r>
            <w:r w:rsidRPr="0082562E">
              <w:rPr>
                <w:rFonts w:ascii="Arial" w:hAnsi="Arial" w:cs="Arial"/>
                <w:b/>
                <w:sz w:val="16"/>
                <w:szCs w:val="16"/>
              </w:rPr>
              <w:br/>
              <w:t>201/2015</w:t>
            </w:r>
            <w:r w:rsidRPr="0082562E">
              <w:rPr>
                <w:rFonts w:ascii="Arial" w:hAnsi="Arial" w:cs="Arial"/>
                <w:b/>
                <w:sz w:val="16"/>
                <w:szCs w:val="16"/>
              </w:rPr>
              <w:br/>
              <w:t>292/2015</w:t>
            </w:r>
            <w:r w:rsidRPr="0082562E">
              <w:rPr>
                <w:rFonts w:ascii="Arial" w:hAnsi="Arial" w:cs="Arial"/>
                <w:b/>
                <w:sz w:val="16"/>
                <w:szCs w:val="16"/>
              </w:rPr>
              <w:br/>
              <w:t>311/2015</w:t>
            </w:r>
            <w:r w:rsidRPr="0082562E">
              <w:rPr>
                <w:rFonts w:ascii="Arial" w:hAnsi="Arial" w:cs="Arial"/>
                <w:b/>
                <w:sz w:val="16"/>
                <w:szCs w:val="16"/>
              </w:rPr>
              <w:br/>
              <w:t>324/2015</w:t>
            </w:r>
            <w:r w:rsidRPr="0082562E">
              <w:rPr>
                <w:rFonts w:ascii="Arial" w:hAnsi="Arial" w:cs="Arial"/>
                <w:b/>
                <w:sz w:val="16"/>
                <w:szCs w:val="16"/>
              </w:rPr>
              <w:br/>
              <w:t>367/2015</w:t>
            </w:r>
            <w:r w:rsidRPr="0082562E">
              <w:rPr>
                <w:rFonts w:ascii="Arial" w:hAnsi="Arial" w:cs="Arial"/>
                <w:b/>
                <w:sz w:val="16"/>
                <w:szCs w:val="16"/>
              </w:rPr>
              <w:br/>
              <w:t>476/2015</w:t>
            </w:r>
            <w:r w:rsidRPr="0082562E">
              <w:rPr>
                <w:rFonts w:ascii="Arial" w:hAnsi="Arial" w:cs="Arial"/>
                <w:b/>
                <w:sz w:val="16"/>
                <w:szCs w:val="16"/>
              </w:rPr>
              <w:br/>
              <w:t>477/2015</w:t>
            </w:r>
            <w:r w:rsidRPr="0082562E">
              <w:rPr>
                <w:rFonts w:ascii="Arial" w:hAnsi="Arial" w:cs="Arial"/>
                <w:b/>
                <w:sz w:val="16"/>
                <w:szCs w:val="16"/>
              </w:rPr>
              <w:br/>
              <w:t>478/2015</w:t>
            </w:r>
            <w:r w:rsidRPr="0082562E">
              <w:rPr>
                <w:rFonts w:ascii="Arial" w:hAnsi="Arial" w:cs="Arial"/>
                <w:b/>
                <w:sz w:val="16"/>
                <w:szCs w:val="16"/>
              </w:rPr>
              <w:br/>
              <w:t>482/2015</w:t>
            </w:r>
            <w:r w:rsidRPr="0082562E">
              <w:rPr>
                <w:rFonts w:ascii="Arial" w:hAnsi="Arial" w:cs="Arial"/>
                <w:b/>
                <w:sz w:val="16"/>
                <w:szCs w:val="16"/>
              </w:rPr>
              <w:br/>
              <w:t>494/2015</w:t>
            </w:r>
            <w:r w:rsidRPr="0082562E">
              <w:rPr>
                <w:rFonts w:ascii="Arial" w:hAnsi="Arial" w:cs="Arial"/>
                <w:b/>
                <w:sz w:val="16"/>
                <w:szCs w:val="16"/>
              </w:rPr>
              <w:br/>
              <w:t>500/2015</w:t>
            </w:r>
            <w:r w:rsidRPr="0082562E">
              <w:rPr>
                <w:rFonts w:ascii="Arial" w:hAnsi="Arial" w:cs="Arial"/>
                <w:b/>
                <w:sz w:val="16"/>
                <w:szCs w:val="16"/>
              </w:rPr>
              <w:br/>
              <w:t>510/2015</w:t>
            </w:r>
            <w:r w:rsidRPr="0082562E">
              <w:rPr>
                <w:rFonts w:ascii="Arial" w:hAnsi="Arial" w:cs="Arial"/>
                <w:b/>
                <w:sz w:val="16"/>
                <w:szCs w:val="16"/>
              </w:rPr>
              <w:br/>
              <w:t>625/2015</w:t>
            </w:r>
            <w:r w:rsidRPr="0082562E">
              <w:rPr>
                <w:rFonts w:ascii="Arial" w:hAnsi="Arial" w:cs="Arial"/>
                <w:b/>
                <w:sz w:val="16"/>
                <w:szCs w:val="16"/>
              </w:rPr>
              <w:br/>
              <w:t>633/2015</w:t>
            </w:r>
            <w:r w:rsidRPr="0082562E">
              <w:rPr>
                <w:rFonts w:ascii="Arial" w:hAnsi="Arial" w:cs="Arial"/>
                <w:b/>
                <w:sz w:val="16"/>
                <w:szCs w:val="16"/>
              </w:rPr>
              <w:br/>
              <w:t>658/2015</w:t>
            </w:r>
            <w:r w:rsidRPr="0082562E">
              <w:rPr>
                <w:rFonts w:ascii="Arial" w:hAnsi="Arial" w:cs="Arial"/>
                <w:b/>
                <w:sz w:val="16"/>
                <w:szCs w:val="16"/>
              </w:rPr>
              <w:br/>
              <w:t>703/2015</w:t>
            </w:r>
            <w:r w:rsidRPr="0082562E">
              <w:rPr>
                <w:rFonts w:ascii="Arial" w:hAnsi="Arial" w:cs="Arial"/>
                <w:b/>
                <w:sz w:val="16"/>
                <w:szCs w:val="16"/>
              </w:rPr>
              <w:br/>
            </w:r>
            <w:r w:rsidRPr="0082562E">
              <w:rPr>
                <w:rFonts w:ascii="Arial" w:hAnsi="Arial" w:cs="Arial"/>
                <w:b/>
                <w:sz w:val="16"/>
                <w:szCs w:val="16"/>
              </w:rPr>
              <w:lastRenderedPageBreak/>
              <w:t>860/2015</w:t>
            </w:r>
            <w:r w:rsidRPr="0082562E">
              <w:rPr>
                <w:rFonts w:ascii="Arial" w:hAnsi="Arial" w:cs="Arial"/>
                <w:b/>
                <w:sz w:val="16"/>
                <w:szCs w:val="16"/>
              </w:rPr>
              <w:br/>
              <w:t>862/2015</w:t>
            </w:r>
            <w:r w:rsidRPr="0082562E">
              <w:rPr>
                <w:rFonts w:ascii="Arial" w:hAnsi="Arial" w:cs="Arial"/>
                <w:b/>
                <w:sz w:val="16"/>
                <w:szCs w:val="16"/>
              </w:rPr>
              <w:br/>
              <w:t>963/2015</w:t>
            </w:r>
            <w:r w:rsidRPr="0082562E">
              <w:rPr>
                <w:rFonts w:ascii="Arial" w:hAnsi="Arial" w:cs="Arial"/>
                <w:b/>
                <w:sz w:val="16"/>
                <w:szCs w:val="16"/>
              </w:rPr>
              <w:br/>
              <w:t>1067/2015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La estrategia de participación incluye los mecanismos y espacios de participación, la descentralización administrativa y los mecanismos formales de la misma, que permiten el acompañamiento y la asistencia técnica conceptual por parte de la Secretaría Distrital de Ambiente en las localidades. </w:t>
            </w:r>
            <w:r w:rsidRPr="0082562E">
              <w:rPr>
                <w:rFonts w:ascii="Arial" w:hAnsi="Arial" w:cs="Arial"/>
                <w:b/>
                <w:sz w:val="16"/>
                <w:szCs w:val="16"/>
              </w:rPr>
              <w:br/>
              <w:t xml:space="preserve">La estrategia busca incentivar, ordenar y priorizar la gestión ambiental con base en la participación cualificada, amplia y activa, estructurada y reconocida y la construcción colectiva del territorio. La visión a largo plazo es impactar significativamente en la gestión ambiental priorizando y </w:t>
            </w:r>
            <w:r w:rsidRPr="0082562E">
              <w:rPr>
                <w:rFonts w:ascii="Arial" w:hAnsi="Arial" w:cs="Arial"/>
                <w:b/>
                <w:sz w:val="16"/>
                <w:szCs w:val="16"/>
              </w:rPr>
              <w:lastRenderedPageBreak/>
              <w:t>armonizando las iniciativas institucionales y populares, acordes con las escalas de la planificación en las unidades territoriales y regionales homogéneas</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312_Vincular 400 organizaciones sociales y ambientales a procesos de participación ciudadana para la gobernanza comunitaria del agua en 20 localidades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14, Promover la vinculación de</w:t>
            </w:r>
            <w:r w:rsidRPr="0082562E">
              <w:rPr>
                <w:rFonts w:ascii="Arial" w:hAnsi="Arial" w:cs="Arial"/>
                <w:b/>
                <w:bCs/>
                <w:sz w:val="16"/>
                <w:szCs w:val="16"/>
              </w:rPr>
              <w:t xml:space="preserve"> </w:t>
            </w:r>
            <w:r w:rsidRPr="0082562E">
              <w:rPr>
                <w:rFonts w:ascii="Arial" w:hAnsi="Arial" w:cs="Arial"/>
                <w:b/>
                <w:sz w:val="16"/>
                <w:szCs w:val="16"/>
              </w:rPr>
              <w:t>150 organizaciones sociales y ambientales en procesos de participación local y territorial enmarcadas en el ejercicio de gobernanza del agua.</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vincularon 150 organizaciones sociales y ambientales en procesos de participación local y territorial enmarcadas en el ejercicio de gobernanza del agua, en las 20 localidades de Bogotá. </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71/2015</w:t>
            </w:r>
            <w:r w:rsidRPr="0082562E">
              <w:rPr>
                <w:rFonts w:ascii="Arial" w:hAnsi="Arial" w:cs="Arial"/>
                <w:b/>
                <w:sz w:val="16"/>
                <w:szCs w:val="16"/>
              </w:rPr>
              <w:br/>
              <w:t>106/2015</w:t>
            </w:r>
            <w:r w:rsidRPr="0082562E">
              <w:rPr>
                <w:rFonts w:ascii="Arial" w:hAnsi="Arial" w:cs="Arial"/>
                <w:b/>
                <w:sz w:val="16"/>
                <w:szCs w:val="16"/>
              </w:rPr>
              <w:br/>
              <w:t>108/2015</w:t>
            </w:r>
            <w:r w:rsidRPr="0082562E">
              <w:rPr>
                <w:rFonts w:ascii="Arial" w:hAnsi="Arial" w:cs="Arial"/>
                <w:b/>
                <w:sz w:val="16"/>
                <w:szCs w:val="16"/>
              </w:rPr>
              <w:br/>
              <w:t>201/2015</w:t>
            </w:r>
            <w:r w:rsidRPr="0082562E">
              <w:rPr>
                <w:rFonts w:ascii="Arial" w:hAnsi="Arial" w:cs="Arial"/>
                <w:b/>
                <w:sz w:val="16"/>
                <w:szCs w:val="16"/>
              </w:rPr>
              <w:br/>
              <w:t>292/2015</w:t>
            </w:r>
            <w:r w:rsidRPr="0082562E">
              <w:rPr>
                <w:rFonts w:ascii="Arial" w:hAnsi="Arial" w:cs="Arial"/>
                <w:b/>
                <w:sz w:val="16"/>
                <w:szCs w:val="16"/>
              </w:rPr>
              <w:br/>
              <w:t>306/2015</w:t>
            </w:r>
            <w:r w:rsidRPr="0082562E">
              <w:rPr>
                <w:rFonts w:ascii="Arial" w:hAnsi="Arial" w:cs="Arial"/>
                <w:b/>
                <w:sz w:val="16"/>
                <w:szCs w:val="16"/>
              </w:rPr>
              <w:br/>
              <w:t>311/2015</w:t>
            </w:r>
            <w:r w:rsidRPr="0082562E">
              <w:rPr>
                <w:rFonts w:ascii="Arial" w:hAnsi="Arial" w:cs="Arial"/>
                <w:b/>
                <w:sz w:val="16"/>
                <w:szCs w:val="16"/>
              </w:rPr>
              <w:br/>
              <w:t>324/2015</w:t>
            </w:r>
            <w:r w:rsidRPr="0082562E">
              <w:rPr>
                <w:rFonts w:ascii="Arial" w:hAnsi="Arial" w:cs="Arial"/>
                <w:b/>
                <w:sz w:val="16"/>
                <w:szCs w:val="16"/>
              </w:rPr>
              <w:br/>
              <w:t>367/2015</w:t>
            </w:r>
            <w:r w:rsidRPr="0082562E">
              <w:rPr>
                <w:rFonts w:ascii="Arial" w:hAnsi="Arial" w:cs="Arial"/>
                <w:b/>
                <w:sz w:val="16"/>
                <w:szCs w:val="16"/>
              </w:rPr>
              <w:br/>
              <w:t>476/2015</w:t>
            </w:r>
            <w:r w:rsidRPr="0082562E">
              <w:rPr>
                <w:rFonts w:ascii="Arial" w:hAnsi="Arial" w:cs="Arial"/>
                <w:b/>
                <w:sz w:val="16"/>
                <w:szCs w:val="16"/>
              </w:rPr>
              <w:br/>
              <w:t>477/2015</w:t>
            </w:r>
            <w:r w:rsidRPr="0082562E">
              <w:rPr>
                <w:rFonts w:ascii="Arial" w:hAnsi="Arial" w:cs="Arial"/>
                <w:b/>
                <w:sz w:val="16"/>
                <w:szCs w:val="16"/>
              </w:rPr>
              <w:br/>
              <w:t>478/2015</w:t>
            </w:r>
            <w:r w:rsidRPr="0082562E">
              <w:rPr>
                <w:rFonts w:ascii="Arial" w:hAnsi="Arial" w:cs="Arial"/>
                <w:b/>
                <w:sz w:val="16"/>
                <w:szCs w:val="16"/>
              </w:rPr>
              <w:br/>
              <w:t>482/2015</w:t>
            </w:r>
            <w:r w:rsidRPr="0082562E">
              <w:rPr>
                <w:rFonts w:ascii="Arial" w:hAnsi="Arial" w:cs="Arial"/>
                <w:b/>
                <w:sz w:val="16"/>
                <w:szCs w:val="16"/>
              </w:rPr>
              <w:br/>
              <w:t>494/2015</w:t>
            </w:r>
            <w:r w:rsidRPr="0082562E">
              <w:rPr>
                <w:rFonts w:ascii="Arial" w:hAnsi="Arial" w:cs="Arial"/>
                <w:b/>
                <w:sz w:val="16"/>
                <w:szCs w:val="16"/>
              </w:rPr>
              <w:br/>
              <w:t>500/2015</w:t>
            </w:r>
            <w:r w:rsidRPr="0082562E">
              <w:rPr>
                <w:rFonts w:ascii="Arial" w:hAnsi="Arial" w:cs="Arial"/>
                <w:b/>
                <w:sz w:val="16"/>
                <w:szCs w:val="16"/>
              </w:rPr>
              <w:br/>
              <w:t>510/2015</w:t>
            </w:r>
            <w:r w:rsidRPr="0082562E">
              <w:rPr>
                <w:rFonts w:ascii="Arial" w:hAnsi="Arial" w:cs="Arial"/>
                <w:b/>
                <w:sz w:val="16"/>
                <w:szCs w:val="16"/>
              </w:rPr>
              <w:br/>
              <w:t>625/2015</w:t>
            </w:r>
            <w:r w:rsidRPr="0082562E">
              <w:rPr>
                <w:rFonts w:ascii="Arial" w:hAnsi="Arial" w:cs="Arial"/>
                <w:b/>
                <w:sz w:val="16"/>
                <w:szCs w:val="16"/>
              </w:rPr>
              <w:br/>
              <w:t>633/2015</w:t>
            </w:r>
            <w:r w:rsidRPr="0082562E">
              <w:rPr>
                <w:rFonts w:ascii="Arial" w:hAnsi="Arial" w:cs="Arial"/>
                <w:b/>
                <w:sz w:val="16"/>
                <w:szCs w:val="16"/>
              </w:rPr>
              <w:br/>
              <w:t>658/2015</w:t>
            </w:r>
            <w:r w:rsidRPr="0082562E">
              <w:rPr>
                <w:rFonts w:ascii="Arial" w:hAnsi="Arial" w:cs="Arial"/>
                <w:b/>
                <w:sz w:val="16"/>
                <w:szCs w:val="16"/>
              </w:rPr>
              <w:br/>
            </w:r>
            <w:r w:rsidRPr="0082562E">
              <w:rPr>
                <w:rFonts w:ascii="Arial" w:hAnsi="Arial" w:cs="Arial"/>
                <w:b/>
                <w:sz w:val="16"/>
                <w:szCs w:val="16"/>
              </w:rPr>
              <w:lastRenderedPageBreak/>
              <w:t>703/2015</w:t>
            </w:r>
            <w:r w:rsidRPr="0082562E">
              <w:rPr>
                <w:rFonts w:ascii="Arial" w:hAnsi="Arial" w:cs="Arial"/>
                <w:b/>
                <w:sz w:val="16"/>
                <w:szCs w:val="16"/>
              </w:rPr>
              <w:br/>
              <w:t>860/2015</w:t>
            </w:r>
            <w:r w:rsidRPr="0082562E">
              <w:rPr>
                <w:rFonts w:ascii="Arial" w:hAnsi="Arial" w:cs="Arial"/>
                <w:b/>
                <w:sz w:val="16"/>
                <w:szCs w:val="16"/>
              </w:rPr>
              <w:br/>
              <w:t>864/2015</w:t>
            </w:r>
            <w:r w:rsidRPr="0082562E">
              <w:rPr>
                <w:rFonts w:ascii="Arial" w:hAnsi="Arial" w:cs="Arial"/>
                <w:b/>
                <w:sz w:val="16"/>
                <w:szCs w:val="16"/>
              </w:rPr>
              <w:br/>
              <w:t>862/2015</w:t>
            </w:r>
            <w:r w:rsidRPr="0082562E">
              <w:rPr>
                <w:rFonts w:ascii="Arial" w:hAnsi="Arial" w:cs="Arial"/>
                <w:b/>
                <w:sz w:val="16"/>
                <w:szCs w:val="16"/>
              </w:rPr>
              <w:br/>
              <w:t>963/2015</w:t>
            </w:r>
            <w:r w:rsidRPr="0082562E">
              <w:rPr>
                <w:rFonts w:ascii="Arial" w:hAnsi="Arial" w:cs="Arial"/>
                <w:b/>
                <w:sz w:val="16"/>
                <w:szCs w:val="16"/>
              </w:rPr>
              <w:br/>
              <w:t>1067/2015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La vinculación de organizaciones sociales y ambientales en los procesos se participación local y territorial que permite la intervención de los ciudadanos en la construcción física y conceptual de la ciudad y de su entorno rural y regional; hacer efectivo el derecho de los ciudadanos a participar democráticamente para garantizar una vida saludable y productiva, en armonía con la naturaleza; y dar prioridad a las acciones de prevención de desastres y de mejoramiento de la calidad ambiental de las poblaciones que habitan las zonas de alto riesgo.</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312_Vincular 400 organizaciones sociales y ambientales a procesos de participación ciudadana para la gobernanza comunitaria del agua en 20 localidades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15.Promover la participación ciudadana digital mediante la vinculación de ciudadanos al programa "Corresponsales ambientales"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A lo largo de la vigencia 2015 se realizó acompañamiento a las actividades de la OPEL a través de las distintas redes sociales y se publicaron invitaciones a fin de que las personas participaran en las iniciativas programadas a si mismo publicamos durante los últimos tres meses todas las actividades que se realizaron en la OPEL y en la SDA haciendo registro en vivo de cada una de ellas generando participación inmediata en los ciudadanos, también publicamos eventos de relevancia ecológica alrededor del mundo generando conversaciones cerca de estos temas. Para la vigencia 2015 en </w:t>
            </w:r>
            <w:r w:rsidRPr="0082562E">
              <w:rPr>
                <w:rFonts w:ascii="Arial" w:hAnsi="Arial" w:cs="Arial"/>
                <w:b/>
                <w:sz w:val="16"/>
                <w:szCs w:val="16"/>
              </w:rPr>
              <w:lastRenderedPageBreak/>
              <w:t>twitter cerramos con 4.358 seguidores en facebook 5.010 y en la base de datos de la página web de corresponsales ambientales  somos 1257 inscritos  que se lograron mediante publicaciones en las distintas redes sociales invitándolos a ser parte de esta iniciativa.</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noWrap/>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651/2015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La participación digital es una alternativa para que la ciudadanía se involucre en en los procesos de participación local y territorial interviniendo en la construcción física y conceptual de la ciudad y de su entorno rural y regional</w:t>
            </w:r>
          </w:p>
        </w:tc>
      </w:tr>
      <w:tr w:rsidR="0082562E" w:rsidRPr="0082562E" w:rsidTr="0082562E">
        <w:trPr>
          <w:trHeight w:val="370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131</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312_Vincular 400 organizaciones sociales y ambientales a procesos de participación ciudadana para la gobernanza comunitaria del agua en 20 localidades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16</w:t>
            </w:r>
            <w:proofErr w:type="gramStart"/>
            <w:r w:rsidRPr="0082562E">
              <w:rPr>
                <w:rFonts w:ascii="Arial" w:hAnsi="Arial" w:cs="Arial"/>
                <w:b/>
                <w:sz w:val="16"/>
                <w:szCs w:val="16"/>
              </w:rPr>
              <w:t>.Asesorar</w:t>
            </w:r>
            <w:proofErr w:type="gramEnd"/>
            <w:r w:rsidRPr="0082562E">
              <w:rPr>
                <w:rFonts w:ascii="Arial" w:hAnsi="Arial" w:cs="Arial"/>
                <w:b/>
                <w:sz w:val="16"/>
                <w:szCs w:val="16"/>
              </w:rPr>
              <w:t xml:space="preserve"> a las alcaldías locales para el fortalecimiento de la gestión ambiental y promover la participación ciudadana mediante la consolidación de los  espacios e instancias a nivel local.</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Se realizó de manera permanente el acompañamiento y participó activa y propositivamente en instancias y espacios de participación, acompañando en articulación con las Alcaldías Locales los procesos que fortalecen la participación vinculante e incidente de la comunidad en el territorio. En ellas se realizó el abordaje de las necesidades y situaciones de cada una de las localidades durante las vigencias 2012 a 2015.</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71/2015</w:t>
            </w:r>
            <w:r w:rsidRPr="0082562E">
              <w:rPr>
                <w:rFonts w:ascii="Arial" w:hAnsi="Arial" w:cs="Arial"/>
                <w:b/>
                <w:sz w:val="16"/>
                <w:szCs w:val="16"/>
              </w:rPr>
              <w:br/>
              <w:t>106/2015</w:t>
            </w:r>
            <w:r w:rsidRPr="0082562E">
              <w:rPr>
                <w:rFonts w:ascii="Arial" w:hAnsi="Arial" w:cs="Arial"/>
                <w:b/>
                <w:sz w:val="16"/>
                <w:szCs w:val="16"/>
              </w:rPr>
              <w:br/>
              <w:t>108/2015</w:t>
            </w:r>
            <w:r w:rsidRPr="0082562E">
              <w:rPr>
                <w:rFonts w:ascii="Arial" w:hAnsi="Arial" w:cs="Arial"/>
                <w:b/>
                <w:sz w:val="16"/>
                <w:szCs w:val="16"/>
              </w:rPr>
              <w:br/>
              <w:t>201/2015</w:t>
            </w:r>
            <w:r w:rsidRPr="0082562E">
              <w:rPr>
                <w:rFonts w:ascii="Arial" w:hAnsi="Arial" w:cs="Arial"/>
                <w:b/>
                <w:sz w:val="16"/>
                <w:szCs w:val="16"/>
              </w:rPr>
              <w:br/>
              <w:t>292/2015</w:t>
            </w:r>
            <w:r w:rsidRPr="0082562E">
              <w:rPr>
                <w:rFonts w:ascii="Arial" w:hAnsi="Arial" w:cs="Arial"/>
                <w:b/>
                <w:sz w:val="16"/>
                <w:szCs w:val="16"/>
              </w:rPr>
              <w:br/>
              <w:t>311/2015</w:t>
            </w:r>
            <w:r w:rsidRPr="0082562E">
              <w:rPr>
                <w:rFonts w:ascii="Arial" w:hAnsi="Arial" w:cs="Arial"/>
                <w:b/>
                <w:sz w:val="16"/>
                <w:szCs w:val="16"/>
              </w:rPr>
              <w:br/>
              <w:t>324/2015</w:t>
            </w:r>
            <w:r w:rsidRPr="0082562E">
              <w:rPr>
                <w:rFonts w:ascii="Arial" w:hAnsi="Arial" w:cs="Arial"/>
                <w:b/>
                <w:sz w:val="16"/>
                <w:szCs w:val="16"/>
              </w:rPr>
              <w:br/>
              <w:t>367/2015</w:t>
            </w:r>
            <w:r w:rsidRPr="0082562E">
              <w:rPr>
                <w:rFonts w:ascii="Arial" w:hAnsi="Arial" w:cs="Arial"/>
                <w:b/>
                <w:sz w:val="16"/>
                <w:szCs w:val="16"/>
              </w:rPr>
              <w:br/>
              <w:t>476/2015</w:t>
            </w:r>
            <w:r w:rsidRPr="0082562E">
              <w:rPr>
                <w:rFonts w:ascii="Arial" w:hAnsi="Arial" w:cs="Arial"/>
                <w:b/>
                <w:sz w:val="16"/>
                <w:szCs w:val="16"/>
              </w:rPr>
              <w:br/>
              <w:t>477/2015</w:t>
            </w:r>
            <w:r w:rsidRPr="0082562E">
              <w:rPr>
                <w:rFonts w:ascii="Arial" w:hAnsi="Arial" w:cs="Arial"/>
                <w:b/>
                <w:sz w:val="16"/>
                <w:szCs w:val="16"/>
              </w:rPr>
              <w:br/>
              <w:t>478/2015</w:t>
            </w:r>
            <w:r w:rsidRPr="0082562E">
              <w:rPr>
                <w:rFonts w:ascii="Arial" w:hAnsi="Arial" w:cs="Arial"/>
                <w:b/>
                <w:sz w:val="16"/>
                <w:szCs w:val="16"/>
              </w:rPr>
              <w:br/>
              <w:t>482/2015</w:t>
            </w:r>
            <w:r w:rsidRPr="0082562E">
              <w:rPr>
                <w:rFonts w:ascii="Arial" w:hAnsi="Arial" w:cs="Arial"/>
                <w:b/>
                <w:sz w:val="16"/>
                <w:szCs w:val="16"/>
              </w:rPr>
              <w:br/>
              <w:t>494/2015</w:t>
            </w:r>
            <w:r w:rsidRPr="0082562E">
              <w:rPr>
                <w:rFonts w:ascii="Arial" w:hAnsi="Arial" w:cs="Arial"/>
                <w:b/>
                <w:sz w:val="16"/>
                <w:szCs w:val="16"/>
              </w:rPr>
              <w:br/>
              <w:t>500/2015</w:t>
            </w:r>
            <w:r w:rsidRPr="0082562E">
              <w:rPr>
                <w:rFonts w:ascii="Arial" w:hAnsi="Arial" w:cs="Arial"/>
                <w:b/>
                <w:sz w:val="16"/>
                <w:szCs w:val="16"/>
              </w:rPr>
              <w:br/>
              <w:t>510/2015</w:t>
            </w:r>
            <w:r w:rsidRPr="0082562E">
              <w:rPr>
                <w:rFonts w:ascii="Arial" w:hAnsi="Arial" w:cs="Arial"/>
                <w:b/>
                <w:sz w:val="16"/>
                <w:szCs w:val="16"/>
              </w:rPr>
              <w:br/>
              <w:t>625/2015</w:t>
            </w:r>
            <w:r w:rsidRPr="0082562E">
              <w:rPr>
                <w:rFonts w:ascii="Arial" w:hAnsi="Arial" w:cs="Arial"/>
                <w:b/>
                <w:sz w:val="16"/>
                <w:szCs w:val="16"/>
              </w:rPr>
              <w:br/>
              <w:t>633/2015</w:t>
            </w:r>
            <w:r w:rsidRPr="0082562E">
              <w:rPr>
                <w:rFonts w:ascii="Arial" w:hAnsi="Arial" w:cs="Arial"/>
                <w:b/>
                <w:sz w:val="16"/>
                <w:szCs w:val="16"/>
              </w:rPr>
              <w:br/>
              <w:t>658/2015</w:t>
            </w:r>
            <w:r w:rsidRPr="0082562E">
              <w:rPr>
                <w:rFonts w:ascii="Arial" w:hAnsi="Arial" w:cs="Arial"/>
                <w:b/>
                <w:sz w:val="16"/>
                <w:szCs w:val="16"/>
              </w:rPr>
              <w:br/>
              <w:t>703/2015</w:t>
            </w:r>
            <w:r w:rsidRPr="0082562E">
              <w:rPr>
                <w:rFonts w:ascii="Arial" w:hAnsi="Arial" w:cs="Arial"/>
                <w:b/>
                <w:sz w:val="16"/>
                <w:szCs w:val="16"/>
              </w:rPr>
              <w:br/>
              <w:t>860/2015</w:t>
            </w:r>
            <w:r w:rsidRPr="0082562E">
              <w:rPr>
                <w:rFonts w:ascii="Arial" w:hAnsi="Arial" w:cs="Arial"/>
                <w:b/>
                <w:sz w:val="16"/>
                <w:szCs w:val="16"/>
              </w:rPr>
              <w:br/>
              <w:t>862/2015</w:t>
            </w:r>
            <w:r w:rsidRPr="0082562E">
              <w:rPr>
                <w:rFonts w:ascii="Arial" w:hAnsi="Arial" w:cs="Arial"/>
                <w:b/>
                <w:sz w:val="16"/>
                <w:szCs w:val="16"/>
              </w:rPr>
              <w:br/>
              <w:t>963/2015</w:t>
            </w:r>
            <w:r w:rsidRPr="0082562E">
              <w:rPr>
                <w:rFonts w:ascii="Arial" w:hAnsi="Arial" w:cs="Arial"/>
                <w:b/>
                <w:sz w:val="16"/>
                <w:szCs w:val="16"/>
              </w:rPr>
              <w:br/>
              <w:t>1067/2015</w:t>
            </w:r>
            <w:r w:rsidRPr="0082562E">
              <w:rPr>
                <w:rFonts w:ascii="Arial" w:hAnsi="Arial" w:cs="Arial"/>
                <w:b/>
                <w:sz w:val="16"/>
                <w:szCs w:val="16"/>
              </w:rPr>
              <w:br/>
            </w:r>
            <w:r w:rsidRPr="0082562E">
              <w:rPr>
                <w:rFonts w:ascii="Arial" w:hAnsi="Arial" w:cs="Arial"/>
                <w:b/>
                <w:sz w:val="16"/>
                <w:szCs w:val="16"/>
              </w:rPr>
              <w:br/>
              <w:t>45/2015</w:t>
            </w:r>
            <w:r w:rsidRPr="0082562E">
              <w:rPr>
                <w:rFonts w:ascii="Arial" w:hAnsi="Arial" w:cs="Arial"/>
                <w:b/>
                <w:sz w:val="16"/>
                <w:szCs w:val="16"/>
              </w:rPr>
              <w:br/>
              <w:t>67/2015</w:t>
            </w:r>
            <w:r w:rsidRPr="0082562E">
              <w:rPr>
                <w:rFonts w:ascii="Arial" w:hAnsi="Arial" w:cs="Arial"/>
                <w:b/>
                <w:sz w:val="16"/>
                <w:szCs w:val="16"/>
              </w:rPr>
              <w:br/>
              <w:t>119/2015</w:t>
            </w:r>
            <w:r w:rsidRPr="0082562E">
              <w:rPr>
                <w:rFonts w:ascii="Arial" w:hAnsi="Arial" w:cs="Arial"/>
                <w:b/>
                <w:sz w:val="16"/>
                <w:szCs w:val="16"/>
              </w:rPr>
              <w:br/>
              <w:t>133/2015</w:t>
            </w:r>
            <w:r w:rsidRPr="0082562E">
              <w:rPr>
                <w:rFonts w:ascii="Arial" w:hAnsi="Arial" w:cs="Arial"/>
                <w:b/>
                <w:sz w:val="16"/>
                <w:szCs w:val="16"/>
              </w:rPr>
              <w:br/>
              <w:t>635/2015</w:t>
            </w:r>
            <w:r w:rsidRPr="0082562E">
              <w:rPr>
                <w:rFonts w:ascii="Arial" w:hAnsi="Arial" w:cs="Arial"/>
                <w:b/>
                <w:sz w:val="16"/>
                <w:szCs w:val="16"/>
              </w:rPr>
              <w:br/>
            </w:r>
            <w:r w:rsidRPr="0082562E">
              <w:rPr>
                <w:rFonts w:ascii="Arial" w:hAnsi="Arial" w:cs="Arial"/>
                <w:b/>
                <w:sz w:val="16"/>
                <w:szCs w:val="16"/>
              </w:rPr>
              <w:lastRenderedPageBreak/>
              <w:t>1052/2015</w:t>
            </w:r>
            <w:r w:rsidRPr="0082562E">
              <w:rPr>
                <w:rFonts w:ascii="Arial" w:hAnsi="Arial" w:cs="Arial"/>
                <w:b/>
                <w:sz w:val="16"/>
                <w:szCs w:val="16"/>
              </w:rPr>
              <w:br/>
              <w:t>1162/2015</w:t>
            </w:r>
            <w:r w:rsidRPr="0082562E">
              <w:rPr>
                <w:rFonts w:ascii="Arial" w:hAnsi="Arial" w:cs="Arial"/>
                <w:b/>
                <w:sz w:val="16"/>
                <w:szCs w:val="16"/>
              </w:rPr>
              <w:br/>
              <w:t>1260/2015</w:t>
            </w:r>
            <w:r w:rsidRPr="0082562E">
              <w:rPr>
                <w:rFonts w:ascii="Arial" w:hAnsi="Arial" w:cs="Arial"/>
                <w:b/>
                <w:sz w:val="16"/>
                <w:szCs w:val="16"/>
              </w:rPr>
              <w:br/>
              <w:t>1356/2015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Desde la estrategia de participación es importante socializar y construir las políticas y los instrumentos de planeación y gestión ambiental, armonizando los niveles distritales y locales, asesorando y acompañando la formulación de los Planes Ambientales Locales, que en el largo plazo permitan el fortalecimiento del componente ambiental en lo local, así como la coordinación de la gestión ambiental de las entidades distritales en el ámbito local. Se busca que las comunidades sean parte de la solución a la problemática, por tanto, la participación va de la mano con la estrategia de educación, generando procesos de capacitación y formación para la comunidad, con el fin de garantizar una intervención cualificada, de mayor cobertura, ordenada y reconocida en las diferentes instancias de participación. </w:t>
            </w:r>
            <w:r w:rsidRPr="0082562E">
              <w:rPr>
                <w:rFonts w:ascii="Arial" w:hAnsi="Arial" w:cs="Arial"/>
                <w:b/>
                <w:sz w:val="16"/>
                <w:szCs w:val="16"/>
              </w:rPr>
              <w:br/>
              <w:t xml:space="preserve"> Los siguientes contratos: 45/2015, 67/2015, 119/2015, 133/2015, 635/2015, 1052/2015, 1162/2015, </w:t>
            </w:r>
            <w:r w:rsidRPr="0082562E">
              <w:rPr>
                <w:rFonts w:ascii="Arial" w:hAnsi="Arial" w:cs="Arial"/>
                <w:b/>
                <w:sz w:val="16"/>
                <w:szCs w:val="16"/>
              </w:rPr>
              <w:lastRenderedPageBreak/>
              <w:t xml:space="preserve">1260/2015, 1356/2015. Realizan actividades de apoyo al cumplimiento de metas de educación ambiental y participación. </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418_Realizar 20 procesos locales de planeación y presupuestos participativos, con recursos sectoriales territorializables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 Diseñar plan de trabajo de las 20 localidades para la promoción de los procesos participativos.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formularon y ejecutaron 20 planes de trabajo para la promoción de la participación de los procesos participativos, uno por localidad, </w:t>
            </w:r>
            <w:r w:rsidRPr="0082562E">
              <w:rPr>
                <w:rFonts w:ascii="Arial" w:hAnsi="Arial" w:cs="Arial"/>
                <w:b/>
                <w:sz w:val="16"/>
                <w:szCs w:val="16"/>
              </w:rPr>
              <w:br/>
              <w:t xml:space="preserve">Se realizó seguimiento a los planes de trabajo de cada localidad, en los cuales se evidencia el cumplimiento de los objetivos trazados para cada localidad. </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254/2015</w:t>
            </w:r>
            <w:r w:rsidRPr="0082562E">
              <w:rPr>
                <w:rFonts w:ascii="Arial" w:hAnsi="Arial" w:cs="Arial"/>
                <w:b/>
                <w:sz w:val="16"/>
                <w:szCs w:val="16"/>
              </w:rPr>
              <w:br/>
              <w:t>361/2015</w:t>
            </w:r>
            <w:r w:rsidRPr="0082562E">
              <w:rPr>
                <w:rFonts w:ascii="Arial" w:hAnsi="Arial" w:cs="Arial"/>
                <w:b/>
                <w:sz w:val="16"/>
                <w:szCs w:val="16"/>
              </w:rPr>
              <w:br/>
              <w:t>418/2015</w:t>
            </w:r>
            <w:r w:rsidRPr="0082562E">
              <w:rPr>
                <w:rFonts w:ascii="Arial" w:hAnsi="Arial" w:cs="Arial"/>
                <w:b/>
                <w:sz w:val="16"/>
                <w:szCs w:val="16"/>
              </w:rPr>
              <w:br/>
              <w:t>486/2015</w:t>
            </w:r>
            <w:r w:rsidRPr="0082562E">
              <w:rPr>
                <w:rFonts w:ascii="Arial" w:hAnsi="Arial" w:cs="Arial"/>
                <w:b/>
                <w:sz w:val="16"/>
                <w:szCs w:val="16"/>
              </w:rPr>
              <w:br/>
              <w:t>570/2015</w:t>
            </w:r>
            <w:r w:rsidRPr="0082562E">
              <w:rPr>
                <w:rFonts w:ascii="Arial" w:hAnsi="Arial" w:cs="Arial"/>
                <w:b/>
                <w:sz w:val="16"/>
                <w:szCs w:val="16"/>
              </w:rPr>
              <w:br/>
              <w:t>71/2015</w:t>
            </w:r>
            <w:r w:rsidRPr="0082562E">
              <w:rPr>
                <w:rFonts w:ascii="Arial" w:hAnsi="Arial" w:cs="Arial"/>
                <w:b/>
                <w:sz w:val="16"/>
                <w:szCs w:val="16"/>
              </w:rPr>
              <w:br/>
              <w:t>106/2015</w:t>
            </w:r>
            <w:r w:rsidRPr="0082562E">
              <w:rPr>
                <w:rFonts w:ascii="Arial" w:hAnsi="Arial" w:cs="Arial"/>
                <w:b/>
                <w:sz w:val="16"/>
                <w:szCs w:val="16"/>
              </w:rPr>
              <w:br/>
              <w:t>108/2015</w:t>
            </w:r>
            <w:r w:rsidRPr="0082562E">
              <w:rPr>
                <w:rFonts w:ascii="Arial" w:hAnsi="Arial" w:cs="Arial"/>
                <w:b/>
                <w:sz w:val="16"/>
                <w:szCs w:val="16"/>
              </w:rPr>
              <w:br/>
              <w:t>201/2015</w:t>
            </w:r>
            <w:r w:rsidRPr="0082562E">
              <w:rPr>
                <w:rFonts w:ascii="Arial" w:hAnsi="Arial" w:cs="Arial"/>
                <w:b/>
                <w:sz w:val="16"/>
                <w:szCs w:val="16"/>
              </w:rPr>
              <w:br/>
              <w:t>292/2015</w:t>
            </w:r>
            <w:r w:rsidRPr="0082562E">
              <w:rPr>
                <w:rFonts w:ascii="Arial" w:hAnsi="Arial" w:cs="Arial"/>
                <w:b/>
                <w:sz w:val="16"/>
                <w:szCs w:val="16"/>
              </w:rPr>
              <w:br/>
              <w:t>324/2015</w:t>
            </w:r>
            <w:r w:rsidRPr="0082562E">
              <w:rPr>
                <w:rFonts w:ascii="Arial" w:hAnsi="Arial" w:cs="Arial"/>
                <w:b/>
                <w:sz w:val="16"/>
                <w:szCs w:val="16"/>
              </w:rPr>
              <w:br/>
              <w:t>367/2015</w:t>
            </w:r>
            <w:r w:rsidRPr="0082562E">
              <w:rPr>
                <w:rFonts w:ascii="Arial" w:hAnsi="Arial" w:cs="Arial"/>
                <w:b/>
                <w:sz w:val="16"/>
                <w:szCs w:val="16"/>
              </w:rPr>
              <w:br/>
              <w:t>476/2015</w:t>
            </w:r>
            <w:r w:rsidRPr="0082562E">
              <w:rPr>
                <w:rFonts w:ascii="Arial" w:hAnsi="Arial" w:cs="Arial"/>
                <w:b/>
                <w:sz w:val="16"/>
                <w:szCs w:val="16"/>
              </w:rPr>
              <w:br/>
              <w:t>477/2015</w:t>
            </w:r>
            <w:r w:rsidRPr="0082562E">
              <w:rPr>
                <w:rFonts w:ascii="Arial" w:hAnsi="Arial" w:cs="Arial"/>
                <w:b/>
                <w:sz w:val="16"/>
                <w:szCs w:val="16"/>
              </w:rPr>
              <w:br/>
              <w:t>478/2015</w:t>
            </w:r>
            <w:r w:rsidRPr="0082562E">
              <w:rPr>
                <w:rFonts w:ascii="Arial" w:hAnsi="Arial" w:cs="Arial"/>
                <w:b/>
                <w:sz w:val="16"/>
                <w:szCs w:val="16"/>
              </w:rPr>
              <w:br/>
              <w:t>482/2015</w:t>
            </w:r>
            <w:r w:rsidRPr="0082562E">
              <w:rPr>
                <w:rFonts w:ascii="Arial" w:hAnsi="Arial" w:cs="Arial"/>
                <w:b/>
                <w:sz w:val="16"/>
                <w:szCs w:val="16"/>
              </w:rPr>
              <w:br/>
              <w:t>494/2015</w:t>
            </w:r>
            <w:r w:rsidRPr="0082562E">
              <w:rPr>
                <w:rFonts w:ascii="Arial" w:hAnsi="Arial" w:cs="Arial"/>
                <w:b/>
                <w:sz w:val="16"/>
                <w:szCs w:val="16"/>
              </w:rPr>
              <w:br/>
              <w:t>500/2015</w:t>
            </w:r>
            <w:r w:rsidRPr="0082562E">
              <w:rPr>
                <w:rFonts w:ascii="Arial" w:hAnsi="Arial" w:cs="Arial"/>
                <w:b/>
                <w:sz w:val="16"/>
                <w:szCs w:val="16"/>
              </w:rPr>
              <w:br/>
              <w:t>510/2015</w:t>
            </w:r>
            <w:r w:rsidRPr="0082562E">
              <w:rPr>
                <w:rFonts w:ascii="Arial" w:hAnsi="Arial" w:cs="Arial"/>
                <w:b/>
                <w:sz w:val="16"/>
                <w:szCs w:val="16"/>
              </w:rPr>
              <w:br/>
              <w:t>625/2015</w:t>
            </w:r>
            <w:r w:rsidRPr="0082562E">
              <w:rPr>
                <w:rFonts w:ascii="Arial" w:hAnsi="Arial" w:cs="Arial"/>
                <w:b/>
                <w:sz w:val="16"/>
                <w:szCs w:val="16"/>
              </w:rPr>
              <w:br/>
              <w:t>633/2015</w:t>
            </w:r>
            <w:r w:rsidRPr="0082562E">
              <w:rPr>
                <w:rFonts w:ascii="Arial" w:hAnsi="Arial" w:cs="Arial"/>
                <w:b/>
                <w:sz w:val="16"/>
                <w:szCs w:val="16"/>
              </w:rPr>
              <w:br/>
              <w:t>635/2015</w:t>
            </w:r>
            <w:r w:rsidRPr="0082562E">
              <w:rPr>
                <w:rFonts w:ascii="Arial" w:hAnsi="Arial" w:cs="Arial"/>
                <w:b/>
                <w:sz w:val="16"/>
                <w:szCs w:val="16"/>
              </w:rPr>
              <w:br/>
              <w:t>658/2015</w:t>
            </w:r>
            <w:r w:rsidRPr="0082562E">
              <w:rPr>
                <w:rFonts w:ascii="Arial" w:hAnsi="Arial" w:cs="Arial"/>
                <w:b/>
                <w:sz w:val="16"/>
                <w:szCs w:val="16"/>
              </w:rPr>
              <w:br/>
              <w:t>703/2015</w:t>
            </w:r>
            <w:r w:rsidRPr="0082562E">
              <w:rPr>
                <w:rFonts w:ascii="Arial" w:hAnsi="Arial" w:cs="Arial"/>
                <w:b/>
                <w:sz w:val="16"/>
                <w:szCs w:val="16"/>
              </w:rPr>
              <w:br/>
              <w:t>860/2015</w:t>
            </w:r>
            <w:r w:rsidRPr="0082562E">
              <w:rPr>
                <w:rFonts w:ascii="Arial" w:hAnsi="Arial" w:cs="Arial"/>
                <w:b/>
                <w:sz w:val="16"/>
                <w:szCs w:val="16"/>
              </w:rPr>
              <w:br/>
              <w:t>862/2015</w:t>
            </w:r>
            <w:r w:rsidRPr="0082562E">
              <w:rPr>
                <w:rFonts w:ascii="Arial" w:hAnsi="Arial" w:cs="Arial"/>
                <w:b/>
                <w:sz w:val="16"/>
                <w:szCs w:val="16"/>
              </w:rPr>
              <w:br/>
              <w:t>963/2015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Estos procesos apoyan la estrategia de participación del Plan de Gestión Ambiental 2008-2038, al fortalecer, captar y retroalimentar el aporte de los distintos actores en torno a los objetivos ambientales del PGA; optimizar los flujos de información y la coordinación entre los distintos actores involucrados en la gestión ambiental de Bogotá D.C., y la región. El equipo de gestores ambientales locales, apoyaron el cumplimiento de esta actividad.</w:t>
            </w:r>
          </w:p>
        </w:tc>
      </w:tr>
      <w:tr w:rsidR="0082562E" w:rsidRPr="0082562E" w:rsidTr="0082562E">
        <w:trPr>
          <w:trHeight w:val="277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418_Realizar 20 procesos locales de planeación y presupuestos participativos, con recursos sectoriales territorializables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2. Promover 20 procesos participativos de control social para la gestión ambiental en el D.C.</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Durante la vigencia el ejercicio de control social a la gestión ambiental adelantada en las localidades  se realizó a través del seguimiento a la intervención que las entidades desarrollan en los espacios del agua con especial énfasis en las acciones adelantadas en  los humedales a través de las mesas de seguimiento.  Así mismo desde las Comisiones Ambientales Locales se hace seguimiento al avance de los proyectos de inversión que se adelantan en el marco de los PAL de las alcaldías locales. </w:t>
            </w:r>
            <w:r w:rsidRPr="0082562E">
              <w:rPr>
                <w:rFonts w:ascii="Arial" w:hAnsi="Arial" w:cs="Arial"/>
                <w:b/>
                <w:sz w:val="16"/>
                <w:szCs w:val="16"/>
              </w:rPr>
              <w:br/>
              <w:t xml:space="preserve">Se realizó la promoción y conformación de 20 procesos participativos de control social para la gestión ambiental de la ciudad, los cuales estuvieron vinculados a las dinámicas participativas desarrolladas en el marco de las comisiones ambientales locales. </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hideMark/>
          </w:tcPr>
          <w:p w:rsidR="001C6580" w:rsidRPr="0082562E" w:rsidRDefault="001C6580" w:rsidP="0082562E">
            <w:pPr>
              <w:spacing w:after="160"/>
              <w:jc w:val="both"/>
              <w:rPr>
                <w:rFonts w:ascii="Arial" w:hAnsi="Arial" w:cs="Arial"/>
                <w:b/>
                <w:sz w:val="16"/>
                <w:szCs w:val="16"/>
              </w:rPr>
            </w:pPr>
            <w:r w:rsidRPr="0082562E">
              <w:rPr>
                <w:rFonts w:ascii="Arial" w:hAnsi="Arial" w:cs="Arial"/>
                <w:b/>
                <w:sz w:val="16"/>
                <w:szCs w:val="16"/>
              </w:rPr>
              <w:t>254/2015</w:t>
            </w:r>
            <w:r w:rsidRPr="0082562E">
              <w:rPr>
                <w:rFonts w:ascii="Arial" w:hAnsi="Arial" w:cs="Arial"/>
                <w:b/>
                <w:sz w:val="16"/>
                <w:szCs w:val="16"/>
              </w:rPr>
              <w:br/>
              <w:t>361/2015</w:t>
            </w:r>
            <w:r w:rsidRPr="0082562E">
              <w:rPr>
                <w:rFonts w:ascii="Arial" w:hAnsi="Arial" w:cs="Arial"/>
                <w:b/>
                <w:sz w:val="16"/>
                <w:szCs w:val="16"/>
              </w:rPr>
              <w:br/>
              <w:t>418/2015</w:t>
            </w:r>
            <w:r w:rsidRPr="0082562E">
              <w:rPr>
                <w:rFonts w:ascii="Arial" w:hAnsi="Arial" w:cs="Arial"/>
                <w:b/>
                <w:sz w:val="16"/>
                <w:szCs w:val="16"/>
              </w:rPr>
              <w:br/>
              <w:t>486/2015</w:t>
            </w:r>
            <w:r w:rsidRPr="0082562E">
              <w:rPr>
                <w:rFonts w:ascii="Arial" w:hAnsi="Arial" w:cs="Arial"/>
                <w:b/>
                <w:sz w:val="16"/>
                <w:szCs w:val="16"/>
              </w:rPr>
              <w:br/>
              <w:t>570/2015</w:t>
            </w:r>
            <w:r w:rsidRPr="0082562E">
              <w:rPr>
                <w:rFonts w:ascii="Arial" w:hAnsi="Arial" w:cs="Arial"/>
                <w:b/>
                <w:sz w:val="16"/>
                <w:szCs w:val="16"/>
              </w:rPr>
              <w:br/>
            </w:r>
            <w:r w:rsidRPr="0082562E">
              <w:rPr>
                <w:rFonts w:ascii="Arial" w:hAnsi="Arial" w:cs="Arial"/>
                <w:b/>
                <w:sz w:val="16"/>
                <w:szCs w:val="16"/>
              </w:rPr>
              <w:br/>
              <w:t>71/2015</w:t>
            </w:r>
            <w:r w:rsidRPr="0082562E">
              <w:rPr>
                <w:rFonts w:ascii="Arial" w:hAnsi="Arial" w:cs="Arial"/>
                <w:b/>
                <w:sz w:val="16"/>
                <w:szCs w:val="16"/>
              </w:rPr>
              <w:br/>
              <w:t>106/2015</w:t>
            </w:r>
            <w:r w:rsidRPr="0082562E">
              <w:rPr>
                <w:rFonts w:ascii="Arial" w:hAnsi="Arial" w:cs="Arial"/>
                <w:b/>
                <w:sz w:val="16"/>
                <w:szCs w:val="16"/>
              </w:rPr>
              <w:br/>
              <w:t>108/2015</w:t>
            </w:r>
            <w:r w:rsidRPr="0082562E">
              <w:rPr>
                <w:rFonts w:ascii="Arial" w:hAnsi="Arial" w:cs="Arial"/>
                <w:b/>
                <w:sz w:val="16"/>
                <w:szCs w:val="16"/>
              </w:rPr>
              <w:br/>
              <w:t>201/2015</w:t>
            </w:r>
            <w:r w:rsidRPr="0082562E">
              <w:rPr>
                <w:rFonts w:ascii="Arial" w:hAnsi="Arial" w:cs="Arial"/>
                <w:b/>
                <w:sz w:val="16"/>
                <w:szCs w:val="16"/>
              </w:rPr>
              <w:br/>
              <w:t>292/2015</w:t>
            </w:r>
            <w:r w:rsidRPr="0082562E">
              <w:rPr>
                <w:rFonts w:ascii="Arial" w:hAnsi="Arial" w:cs="Arial"/>
                <w:b/>
                <w:sz w:val="16"/>
                <w:szCs w:val="16"/>
              </w:rPr>
              <w:br/>
              <w:t>324/2015</w:t>
            </w:r>
            <w:r w:rsidRPr="0082562E">
              <w:rPr>
                <w:rFonts w:ascii="Arial" w:hAnsi="Arial" w:cs="Arial"/>
                <w:b/>
                <w:sz w:val="16"/>
                <w:szCs w:val="16"/>
              </w:rPr>
              <w:br/>
              <w:t>367/2015</w:t>
            </w:r>
            <w:r w:rsidRPr="0082562E">
              <w:rPr>
                <w:rFonts w:ascii="Arial" w:hAnsi="Arial" w:cs="Arial"/>
                <w:b/>
                <w:sz w:val="16"/>
                <w:szCs w:val="16"/>
              </w:rPr>
              <w:br/>
              <w:t>476/2015</w:t>
            </w:r>
            <w:r w:rsidRPr="0082562E">
              <w:rPr>
                <w:rFonts w:ascii="Arial" w:hAnsi="Arial" w:cs="Arial"/>
                <w:b/>
                <w:sz w:val="16"/>
                <w:szCs w:val="16"/>
              </w:rPr>
              <w:br/>
              <w:t>477/2015</w:t>
            </w:r>
            <w:r w:rsidRPr="0082562E">
              <w:rPr>
                <w:rFonts w:ascii="Arial" w:hAnsi="Arial" w:cs="Arial"/>
                <w:b/>
                <w:sz w:val="16"/>
                <w:szCs w:val="16"/>
              </w:rPr>
              <w:br/>
              <w:t>478/2015</w:t>
            </w:r>
            <w:r w:rsidRPr="0082562E">
              <w:rPr>
                <w:rFonts w:ascii="Arial" w:hAnsi="Arial" w:cs="Arial"/>
                <w:b/>
                <w:sz w:val="16"/>
                <w:szCs w:val="16"/>
              </w:rPr>
              <w:br/>
              <w:t>482/2015</w:t>
            </w:r>
            <w:r w:rsidRPr="0082562E">
              <w:rPr>
                <w:rFonts w:ascii="Arial" w:hAnsi="Arial" w:cs="Arial"/>
                <w:b/>
                <w:sz w:val="16"/>
                <w:szCs w:val="16"/>
              </w:rPr>
              <w:br/>
              <w:t>494/2015</w:t>
            </w:r>
            <w:r w:rsidRPr="0082562E">
              <w:rPr>
                <w:rFonts w:ascii="Arial" w:hAnsi="Arial" w:cs="Arial"/>
                <w:b/>
                <w:sz w:val="16"/>
                <w:szCs w:val="16"/>
              </w:rPr>
              <w:br/>
              <w:t>500/2015</w:t>
            </w:r>
            <w:r w:rsidRPr="0082562E">
              <w:rPr>
                <w:rFonts w:ascii="Arial" w:hAnsi="Arial" w:cs="Arial"/>
                <w:b/>
                <w:sz w:val="16"/>
                <w:szCs w:val="16"/>
              </w:rPr>
              <w:br/>
              <w:t>510/2015</w:t>
            </w:r>
            <w:r w:rsidRPr="0082562E">
              <w:rPr>
                <w:rFonts w:ascii="Arial" w:hAnsi="Arial" w:cs="Arial"/>
                <w:b/>
                <w:sz w:val="16"/>
                <w:szCs w:val="16"/>
              </w:rPr>
              <w:br/>
              <w:t>625/2015</w:t>
            </w:r>
            <w:r w:rsidRPr="0082562E">
              <w:rPr>
                <w:rFonts w:ascii="Arial" w:hAnsi="Arial" w:cs="Arial"/>
                <w:b/>
                <w:sz w:val="16"/>
                <w:szCs w:val="16"/>
              </w:rPr>
              <w:br/>
              <w:t>633/2015</w:t>
            </w:r>
            <w:r w:rsidRPr="0082562E">
              <w:rPr>
                <w:rFonts w:ascii="Arial" w:hAnsi="Arial" w:cs="Arial"/>
                <w:b/>
                <w:sz w:val="16"/>
                <w:szCs w:val="16"/>
              </w:rPr>
              <w:br/>
              <w:t>635/2015</w:t>
            </w:r>
            <w:r w:rsidRPr="0082562E">
              <w:rPr>
                <w:rFonts w:ascii="Arial" w:hAnsi="Arial" w:cs="Arial"/>
                <w:b/>
                <w:sz w:val="16"/>
                <w:szCs w:val="16"/>
              </w:rPr>
              <w:br/>
              <w:t>658/2015</w:t>
            </w:r>
            <w:r w:rsidRPr="0082562E">
              <w:rPr>
                <w:rFonts w:ascii="Arial" w:hAnsi="Arial" w:cs="Arial"/>
                <w:b/>
                <w:sz w:val="16"/>
                <w:szCs w:val="16"/>
              </w:rPr>
              <w:br/>
              <w:t>703/2015</w:t>
            </w:r>
            <w:r w:rsidRPr="0082562E">
              <w:rPr>
                <w:rFonts w:ascii="Arial" w:hAnsi="Arial" w:cs="Arial"/>
                <w:b/>
                <w:sz w:val="16"/>
                <w:szCs w:val="16"/>
              </w:rPr>
              <w:br/>
              <w:t>860/2015</w:t>
            </w:r>
            <w:r w:rsidRPr="0082562E">
              <w:rPr>
                <w:rFonts w:ascii="Arial" w:hAnsi="Arial" w:cs="Arial"/>
                <w:b/>
                <w:sz w:val="16"/>
                <w:szCs w:val="16"/>
              </w:rPr>
              <w:br/>
              <w:t>862/2015</w:t>
            </w:r>
            <w:r w:rsidRPr="0082562E">
              <w:rPr>
                <w:rFonts w:ascii="Arial" w:hAnsi="Arial" w:cs="Arial"/>
                <w:b/>
                <w:sz w:val="16"/>
                <w:szCs w:val="16"/>
              </w:rPr>
              <w:br/>
              <w:t>963/2015</w:t>
            </w:r>
            <w:r w:rsidRPr="0082562E">
              <w:rPr>
                <w:rFonts w:ascii="Arial" w:hAnsi="Arial" w:cs="Arial"/>
                <w:b/>
                <w:sz w:val="16"/>
                <w:szCs w:val="16"/>
              </w:rPr>
              <w:br/>
            </w:r>
            <w:r w:rsidRPr="0082562E">
              <w:rPr>
                <w:rFonts w:ascii="Arial" w:hAnsi="Arial" w:cs="Arial"/>
                <w:b/>
                <w:sz w:val="16"/>
                <w:szCs w:val="16"/>
              </w:rPr>
              <w:br/>
            </w:r>
            <w:r w:rsidRPr="0082562E">
              <w:rPr>
                <w:rFonts w:ascii="Arial" w:hAnsi="Arial" w:cs="Arial"/>
                <w:b/>
                <w:sz w:val="16"/>
                <w:szCs w:val="16"/>
              </w:rPr>
              <w:lastRenderedPageBreak/>
              <w:t>1427/2015</w:t>
            </w:r>
            <w:r w:rsidRPr="0082562E">
              <w:rPr>
                <w:rFonts w:ascii="Arial" w:hAnsi="Arial" w:cs="Arial"/>
                <w:b/>
                <w:sz w:val="16"/>
                <w:szCs w:val="16"/>
              </w:rPr>
              <w:br/>
              <w:t>1433/2015</w:t>
            </w:r>
          </w:p>
        </w:tc>
        <w:tc>
          <w:tcPr>
            <w:tcW w:w="2952" w:type="dxa"/>
            <w:hideMark/>
          </w:tcPr>
          <w:p w:rsidR="001C6580" w:rsidRPr="0082562E" w:rsidRDefault="001C6580" w:rsidP="0082562E">
            <w:pPr>
              <w:spacing w:after="160"/>
              <w:jc w:val="both"/>
              <w:rPr>
                <w:rFonts w:ascii="Arial" w:hAnsi="Arial" w:cs="Arial"/>
                <w:b/>
                <w:sz w:val="16"/>
                <w:szCs w:val="16"/>
              </w:rPr>
            </w:pPr>
            <w:r w:rsidRPr="0082562E">
              <w:rPr>
                <w:rFonts w:ascii="Arial" w:hAnsi="Arial" w:cs="Arial"/>
                <w:b/>
                <w:sz w:val="16"/>
                <w:szCs w:val="16"/>
              </w:rPr>
              <w:lastRenderedPageBreak/>
              <w:t xml:space="preserve">Los ejercicios de control social apoyan la estrategia de participación del Plan de Gestión Ambiental 2008-2038, al fortalecer los mecanismos de autocontrol como base de la gestión ambiental; enriquecer el desarrollo y mejorar el desempeño de cada uno de los participantes en la gestión ambiental distrital. El equipo de gestores ambientales locales, apoyaron el cumplimiento de esta actividad, de igual </w:t>
            </w:r>
            <w:proofErr w:type="gramStart"/>
            <w:r w:rsidRPr="0082562E">
              <w:rPr>
                <w:rFonts w:ascii="Arial" w:hAnsi="Arial" w:cs="Arial"/>
                <w:b/>
                <w:sz w:val="16"/>
                <w:szCs w:val="16"/>
              </w:rPr>
              <w:t>manera ,</w:t>
            </w:r>
            <w:proofErr w:type="gramEnd"/>
            <w:r w:rsidRPr="0082562E">
              <w:rPr>
                <w:rFonts w:ascii="Arial" w:hAnsi="Arial" w:cs="Arial"/>
                <w:b/>
                <w:sz w:val="16"/>
                <w:szCs w:val="16"/>
              </w:rPr>
              <w:t xml:space="preserve"> los contratos 1427/2015 y 1433/2015 continuaran realizando actividades en 2016 para continuar el proceso de sistematización de  la información relacionada.</w:t>
            </w:r>
          </w:p>
        </w:tc>
      </w:tr>
      <w:tr w:rsidR="0082562E" w:rsidRPr="0082562E" w:rsidTr="0082562E">
        <w:trPr>
          <w:trHeight w:val="301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418_Realizar 20 procesos locales de planeación y presupuestos participativos, con recursos sectoriales territorializables</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3. Seguimiento a las iniciativas ciudadanas consolidadas a partir del proceso de participación Cabildos "Gobernanza del agua</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Durante la vigencia se realizó seguimiento a las iniciativas priorizadas en los cabildos de gobernanza del agua, la SDA como cabeza de sector y coordinador del comité inter institucional, en el último trimestre se recibió e  integró en la ficha diseñada para el seguimiento a las iniciativas priorizadas, la información reportada por las entidades Jardín Botánico de Bogotá y  Secretaría Distrital de Hábitat, EAAB, UAESP. Información  relacionada con los avances  en las acciones adelantadas como respuesta a  iniciativas  acorde a su misionalidad correspondientes al período 2012- 2015.</w:t>
            </w:r>
            <w:r w:rsidRPr="0082562E">
              <w:rPr>
                <w:rFonts w:ascii="Arial" w:hAnsi="Arial" w:cs="Arial"/>
                <w:b/>
                <w:sz w:val="16"/>
                <w:szCs w:val="16"/>
              </w:rPr>
              <w:br/>
              <w:t xml:space="preserve">Se realizó el seguimiento a las iniciativas ciudadanas consolidadas en las 20 localidades a partir de los procesos de participación de los cabildos de gobernanza del agua, para este seguimiento se emplearon instrumentos de </w:t>
            </w:r>
            <w:r w:rsidRPr="0082562E">
              <w:rPr>
                <w:rFonts w:ascii="Arial" w:hAnsi="Arial" w:cs="Arial"/>
                <w:b/>
                <w:sz w:val="16"/>
                <w:szCs w:val="16"/>
              </w:rPr>
              <w:lastRenderedPageBreak/>
              <w:t xml:space="preserve">planeación y seguimiento para cada localidad, denominado expedientes locales. </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Participación</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254/2015</w:t>
            </w:r>
            <w:r w:rsidRPr="0082562E">
              <w:rPr>
                <w:rFonts w:ascii="Arial" w:hAnsi="Arial" w:cs="Arial"/>
                <w:b/>
                <w:sz w:val="16"/>
                <w:szCs w:val="16"/>
              </w:rPr>
              <w:br/>
              <w:t>361/2015</w:t>
            </w:r>
            <w:r w:rsidRPr="0082562E">
              <w:rPr>
                <w:rFonts w:ascii="Arial" w:hAnsi="Arial" w:cs="Arial"/>
                <w:b/>
                <w:sz w:val="16"/>
                <w:szCs w:val="16"/>
              </w:rPr>
              <w:br/>
              <w:t>418/2015</w:t>
            </w:r>
            <w:r w:rsidRPr="0082562E">
              <w:rPr>
                <w:rFonts w:ascii="Arial" w:hAnsi="Arial" w:cs="Arial"/>
                <w:b/>
                <w:sz w:val="16"/>
                <w:szCs w:val="16"/>
              </w:rPr>
              <w:br/>
              <w:t>486/2015</w:t>
            </w:r>
            <w:r w:rsidRPr="0082562E">
              <w:rPr>
                <w:rFonts w:ascii="Arial" w:hAnsi="Arial" w:cs="Arial"/>
                <w:b/>
                <w:sz w:val="16"/>
                <w:szCs w:val="16"/>
              </w:rPr>
              <w:br/>
              <w:t>570/2015</w:t>
            </w:r>
            <w:r w:rsidRPr="0082562E">
              <w:rPr>
                <w:rFonts w:ascii="Arial" w:hAnsi="Arial" w:cs="Arial"/>
                <w:b/>
                <w:sz w:val="16"/>
                <w:szCs w:val="16"/>
              </w:rPr>
              <w:br/>
              <w:t>1427/2015</w:t>
            </w:r>
            <w:r w:rsidRPr="0082562E">
              <w:rPr>
                <w:rFonts w:ascii="Arial" w:hAnsi="Arial" w:cs="Arial"/>
                <w:b/>
                <w:sz w:val="16"/>
                <w:szCs w:val="16"/>
              </w:rPr>
              <w:br/>
              <w:t>1433/2015</w:t>
            </w:r>
            <w:r w:rsidRPr="0082562E">
              <w:rPr>
                <w:rFonts w:ascii="Arial" w:hAnsi="Arial" w:cs="Arial"/>
                <w:b/>
                <w:sz w:val="16"/>
                <w:szCs w:val="16"/>
              </w:rPr>
              <w:br/>
              <w:t>1435/2015</w:t>
            </w:r>
            <w:r w:rsidRPr="0082562E">
              <w:rPr>
                <w:rFonts w:ascii="Arial" w:hAnsi="Arial" w:cs="Arial"/>
                <w:b/>
                <w:sz w:val="16"/>
                <w:szCs w:val="16"/>
              </w:rPr>
              <w:br/>
              <w:t>1441/2015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El seguimiento a las iniciativas ciudadanas de cabildos de gobernanza del agua  apoyan la estrategia de participación del Plan de Gestión Ambiental 2008-2038, al captar y retroalimentar el aporte de los distintos actores en torno a los objetivos ambientales del PGA; optimizar los flujos de información y coordinar acciones entre los distintos actores involucrados en la gestión ambiental de Bogotá D.C., y la región.  Los contratos 1427/2015, 1433/2015, 1435/2015 y 1441/2015 continuaran realizando actividades en 2016 para continuar el proceso de sistematización de  la información de los procesos participativos.</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423_Desarrollar 5 procesos de formación ciudadana para la inclusión social articulada a la superación de la segregación, la adaptación al cambio climático y la defensa y fortalecimiento de lo público</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 Desarrollar un proceso de formación sobre gobernanza del agua, resaltando el papel de esta en los procesos de ordenamiento ambiental del territorio y el rol de la participación ciudadanía en los mismos.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desarrolló un proceso de formación enfocado al tema de la gobernanza del agua. Se  resaltó la importancia de vincular el agua como Bien Común a los procesos de ordenamiento ambiental del territorio y el fortalecimiento a la participación ciudadana incluyente, incidente. Este proceso de formación se estructuró con sesiones teóricas </w:t>
            </w:r>
            <w:r w:rsidRPr="0082562E">
              <w:rPr>
                <w:rFonts w:ascii="Arial" w:hAnsi="Arial" w:cs="Arial"/>
                <w:b/>
                <w:sz w:val="16"/>
                <w:szCs w:val="16"/>
              </w:rPr>
              <w:lastRenderedPageBreak/>
              <w:t>en la sede la SDA y salidas pedagógicas, tuvo una duración de ochenta (80) horas académicas.</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1356/2015</w:t>
            </w:r>
            <w:r w:rsidRPr="0082562E">
              <w:rPr>
                <w:rFonts w:ascii="Arial" w:hAnsi="Arial" w:cs="Arial"/>
                <w:b/>
                <w:sz w:val="16"/>
                <w:szCs w:val="16"/>
              </w:rPr>
              <w:br/>
              <w:t>1434/2015</w:t>
            </w:r>
            <w:r w:rsidRPr="0082562E">
              <w:rPr>
                <w:rFonts w:ascii="Arial" w:hAnsi="Arial" w:cs="Arial"/>
                <w:b/>
                <w:sz w:val="16"/>
                <w:szCs w:val="16"/>
              </w:rPr>
              <w:br/>
              <w:t>1437/2015</w:t>
            </w:r>
            <w:r w:rsidRPr="0082562E">
              <w:rPr>
                <w:rFonts w:ascii="Arial" w:hAnsi="Arial" w:cs="Arial"/>
                <w:b/>
                <w:sz w:val="16"/>
                <w:szCs w:val="16"/>
              </w:rPr>
              <w:br/>
              <w:t>1438/2015</w:t>
            </w:r>
            <w:r w:rsidRPr="0082562E">
              <w:rPr>
                <w:rFonts w:ascii="Arial" w:hAnsi="Arial" w:cs="Arial"/>
                <w:b/>
                <w:sz w:val="16"/>
                <w:szCs w:val="16"/>
              </w:rPr>
              <w:br/>
              <w:t>1439/2015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El proceso de formación específicamente en Gobernanza del Agua aporta a la estrategia de educación ambiental al construir conceptos y valores comunes que faciliten la interlocución y cooperación entre los distintos actores públicos y privados de la gestión ambiental del Distrito Capital y la región.Los contratos 1434/2015, 1437/2015, 1438/2015, </w:t>
            </w:r>
            <w:r w:rsidRPr="0082562E">
              <w:rPr>
                <w:rFonts w:ascii="Arial" w:hAnsi="Arial" w:cs="Arial"/>
                <w:b/>
                <w:sz w:val="16"/>
                <w:szCs w:val="16"/>
              </w:rPr>
              <w:lastRenderedPageBreak/>
              <w:t>1439/2015  dan continuidad a los procesos de formación.</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423_Desarrollar 5 procesos de formación ciudadana para la inclusión social articulada a la superación de la segregación, la adaptación al cambio climático y la defensa y fortalecimiento de lo público</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5. Desarrollar un proceso de formación referente al cambio climático, involucrando referentes conceptuales y proponiendo mecanismos de adaptación y mitigación que respeten la diversidad cultural, el carácter de lo público y la biodiversidad de Bogotá y la región como un patrimonio de todos los ciudadanos.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desarrolló un proceso de formación referente al cambio climático. En él se involucraron referentes conceptuales y se propusieron mecanismos de adaptación y mitigación al cambio climático  e respeto de la diversidad cultural, de lo público y de la biodiversidad. Este proceso de formación, con sesiones teóricas en la sede la SDA y salidas pedagógicas, tuvo una duración de ochenta (80) horas académicas.   </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1356/2015</w:t>
            </w:r>
            <w:r w:rsidRPr="0082562E">
              <w:rPr>
                <w:rFonts w:ascii="Arial" w:hAnsi="Arial" w:cs="Arial"/>
                <w:b/>
                <w:sz w:val="16"/>
                <w:szCs w:val="16"/>
              </w:rPr>
              <w:br/>
              <w:t>1434/2015</w:t>
            </w:r>
            <w:r w:rsidRPr="0082562E">
              <w:rPr>
                <w:rFonts w:ascii="Arial" w:hAnsi="Arial" w:cs="Arial"/>
                <w:b/>
                <w:sz w:val="16"/>
                <w:szCs w:val="16"/>
              </w:rPr>
              <w:br/>
              <w:t>1437/2015</w:t>
            </w:r>
            <w:r w:rsidRPr="0082562E">
              <w:rPr>
                <w:rFonts w:ascii="Arial" w:hAnsi="Arial" w:cs="Arial"/>
                <w:b/>
                <w:sz w:val="16"/>
                <w:szCs w:val="16"/>
              </w:rPr>
              <w:br/>
              <w:t>1438/2015</w:t>
            </w:r>
            <w:r w:rsidRPr="0082562E">
              <w:rPr>
                <w:rFonts w:ascii="Arial" w:hAnsi="Arial" w:cs="Arial"/>
                <w:b/>
                <w:sz w:val="16"/>
                <w:szCs w:val="16"/>
              </w:rPr>
              <w:br/>
              <w:t>1439/2015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El proceso de formación específicamente en cambio climático aporta a la estrategia de educación ambiental al construir conceptos y valores comunes que faciliten la interlocución y cooperación entre los distintos actores públicos y privados de la gestión ambiental del Distrito Capital y la región.  Los contratos 1434/2015, 1437/2015,1438/2015, 1439/2015 dan continuidad a los procesos de formación.</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423_Desarrollar 5 procesos de formación ciudadana para la inclusión social articulada a la superación de la segregación, la adaptación al cambio climático y la defensa y fortalecimiento de lo público</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6. Desarrollar un proceso de formación que relacione el componente natural, social y cultural de la zona rural del Distrito, resaltando la importancia de este en los procesos de gestión del agua y de mitigación y adaptación al cambio climático</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Se desarrolló un proceso de formación cuyo tema central fue la ruralidad en el Distrito Capital. Así, se puso en relación el componente natural, social y cultural de la zona rural con las dinámicas urbanas y, más globlamente, con los retos ambientales del Distrito; se resaltó la importancia de la zona rural en los procesos de gestión del agua, de protección de la biodiversidad, de seguridad y soberanía alimentaria, de respeto de los saberes ancestrales, así como de adaptación y mitigación al cambio climático. Este proceso de formación, con sesiones teóricas en la sede la SDA y salidas pedagógicas, tuvo una duración de ochenta (80) horas académicas.</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1356/2015</w:t>
            </w:r>
            <w:r w:rsidRPr="0082562E">
              <w:rPr>
                <w:rFonts w:ascii="Arial" w:hAnsi="Arial" w:cs="Arial"/>
                <w:b/>
                <w:sz w:val="16"/>
                <w:szCs w:val="16"/>
              </w:rPr>
              <w:br/>
              <w:t>1434/2015</w:t>
            </w:r>
            <w:r w:rsidRPr="0082562E">
              <w:rPr>
                <w:rFonts w:ascii="Arial" w:hAnsi="Arial" w:cs="Arial"/>
                <w:b/>
                <w:sz w:val="16"/>
                <w:szCs w:val="16"/>
              </w:rPr>
              <w:br/>
              <w:t>1437/2015</w:t>
            </w:r>
            <w:r w:rsidRPr="0082562E">
              <w:rPr>
                <w:rFonts w:ascii="Arial" w:hAnsi="Arial" w:cs="Arial"/>
                <w:b/>
                <w:sz w:val="16"/>
                <w:szCs w:val="16"/>
              </w:rPr>
              <w:br/>
              <w:t>1438/2015</w:t>
            </w:r>
            <w:r w:rsidRPr="0082562E">
              <w:rPr>
                <w:rFonts w:ascii="Arial" w:hAnsi="Arial" w:cs="Arial"/>
                <w:b/>
                <w:sz w:val="16"/>
                <w:szCs w:val="16"/>
              </w:rPr>
              <w:br/>
              <w:t>1439/2015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El proceso de formación específicamente en ruralidad aporta a la estrategia de educación ambiental al construir conceptos y valores comunes que faciliten la interlocución y cooperación entre los distintos actores públicos y privados de la gestión ambiental del Distrito Capital y la región. Los contratos 1434/2015, 1437/2015, 1438/2015, 1439/2015 dan continuidad a los procesos de formación.</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424_Crear una red de comunidades de aprendizaje para la adaptabilidad al cambio climático que incida en la toma de decisiones del orden Bogotá - región.</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7. Ejecutar las actividades requeridas para la conformación de la red de comunidades de aprendizaje  para la adaptabilidad al cambio climático que incida en la toma de decisiones del orden Bogotá-región, enmarcada en los procesos y dinámicas comunales.</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Se creó la Red de comunidades de aprendizaje  para la adaptabilidad al cambio climático. Se favoreció así el intercambio de ideas tanto emanadas del saber académico  como empíricó. Se incorporó a la misma las siguientes comunidades o nodos: </w:t>
            </w:r>
            <w:r w:rsidRPr="0082562E">
              <w:rPr>
                <w:rFonts w:ascii="Arial" w:hAnsi="Arial" w:cs="Arial"/>
                <w:b/>
                <w:sz w:val="16"/>
                <w:szCs w:val="16"/>
              </w:rPr>
              <w:br/>
              <w:t xml:space="preserve">Mesa ecoteológica, </w:t>
            </w:r>
            <w:r w:rsidRPr="0082562E">
              <w:rPr>
                <w:rFonts w:ascii="Arial" w:hAnsi="Arial" w:cs="Arial"/>
                <w:b/>
                <w:sz w:val="16"/>
                <w:szCs w:val="16"/>
              </w:rPr>
              <w:br/>
              <w:t>Red de jóvenes de ambiente,</w:t>
            </w:r>
            <w:r w:rsidRPr="0082562E">
              <w:rPr>
                <w:rFonts w:ascii="Arial" w:hAnsi="Arial" w:cs="Arial"/>
                <w:b/>
                <w:sz w:val="16"/>
                <w:szCs w:val="16"/>
              </w:rPr>
              <w:br/>
              <w:t xml:space="preserve">Sector LGBT, </w:t>
            </w:r>
            <w:r w:rsidRPr="0082562E">
              <w:rPr>
                <w:rFonts w:ascii="Arial" w:hAnsi="Arial" w:cs="Arial"/>
                <w:b/>
                <w:sz w:val="16"/>
                <w:szCs w:val="16"/>
              </w:rPr>
              <w:br/>
              <w:t>Jardineros y Paisajistas,</w:t>
            </w:r>
            <w:r w:rsidRPr="0082562E">
              <w:rPr>
                <w:rFonts w:ascii="Arial" w:hAnsi="Arial" w:cs="Arial"/>
                <w:b/>
                <w:sz w:val="16"/>
                <w:szCs w:val="16"/>
              </w:rPr>
              <w:br/>
              <w:t xml:space="preserve">Nodo de cambio climático, </w:t>
            </w:r>
            <w:r w:rsidRPr="0082562E">
              <w:rPr>
                <w:rFonts w:ascii="Arial" w:hAnsi="Arial" w:cs="Arial"/>
                <w:b/>
                <w:sz w:val="16"/>
                <w:szCs w:val="16"/>
              </w:rPr>
              <w:br/>
              <w:t>Nodo de ruralidad,</w:t>
            </w:r>
            <w:r w:rsidRPr="0082562E">
              <w:rPr>
                <w:rFonts w:ascii="Arial" w:hAnsi="Arial" w:cs="Arial"/>
                <w:b/>
                <w:sz w:val="16"/>
                <w:szCs w:val="16"/>
              </w:rPr>
              <w:br/>
              <w:t xml:space="preserve">Nodo de gobernanza del agua. </w:t>
            </w:r>
            <w:r w:rsidRPr="0082562E">
              <w:rPr>
                <w:rFonts w:ascii="Arial" w:hAnsi="Arial" w:cs="Arial"/>
                <w:b/>
                <w:sz w:val="16"/>
                <w:szCs w:val="16"/>
              </w:rPr>
              <w:br/>
              <w:t>Se realizaron encuentros con los respectivos nodos de la red, lo que propició el diálogo de saberes. Estos espacios han estado enmarcados en procesos y dinámicas grupales y comunales.</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Cultura Ambiental </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Educación Ambiental</w:t>
            </w:r>
          </w:p>
        </w:tc>
        <w:tc>
          <w:tcPr>
            <w:tcW w:w="2385" w:type="dxa"/>
            <w:noWrap/>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1061/2015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La red de comunidades de aprendizaje permite dar un espacio a colectivos para que participen y aporten, de acuerdo a la estrategia de participación del PGA 2008-2038.</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429 - Creación y puesta en marcha de 20 procesos locales de comunicación alternativa y diversa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8. Ejecutar las actividades definidas en el plan de comunicación estratégica interna y externa, que permitan   divulgar a la ciudadanía las acciones realizadas por la entidad  para generar una cultura ambiental, actividades que se implementarán durante la vigencia de dicho plan.</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Durante la vigencia 2015 en el marco de la implementación del Plan de Comunicación,  se han realizado las siguientes actividades: </w:t>
            </w:r>
            <w:proofErr w:type="gramStart"/>
            <w:r w:rsidRPr="0082562E">
              <w:rPr>
                <w:rFonts w:ascii="Arial" w:hAnsi="Arial" w:cs="Arial"/>
                <w:b/>
                <w:sz w:val="16"/>
                <w:szCs w:val="16"/>
              </w:rPr>
              <w:t>Registro</w:t>
            </w:r>
            <w:proofErr w:type="gramEnd"/>
            <w:r w:rsidRPr="0082562E">
              <w:rPr>
                <w:rFonts w:ascii="Arial" w:hAnsi="Arial" w:cs="Arial"/>
                <w:b/>
                <w:sz w:val="16"/>
                <w:szCs w:val="16"/>
              </w:rPr>
              <w:t xml:space="preserve"> en medios de comunicación elaboración y socialización de 161 comunicados de prensa, alcanzando un total de 1849 registros en diferentes medios de comunicación. Herramientas comunicativas: la página web se actualizó de forma permanente y presenta los siguientes resultados visitas 1.089.473, visitantes únicos  686.891, número de páginas visitadas 3.109.883.  En Redes sociales la interactividad con los usuarios se mantiene diaria y permanente y se tienen los siguientes resultados: twitter @ambientebogota registra 77.691 seguidores, facebook 16.211 seguidores, HeyHey 2.100 seguidores, Instagram 1.105 seguidores y SoundCloud 343 reproducciones. A través del canal youtube se obtuvieron </w:t>
            </w:r>
            <w:r w:rsidRPr="0082562E">
              <w:rPr>
                <w:rFonts w:ascii="Arial" w:hAnsi="Arial" w:cs="Arial"/>
                <w:b/>
                <w:sz w:val="16"/>
                <w:szCs w:val="16"/>
              </w:rPr>
              <w:lastRenderedPageBreak/>
              <w:t xml:space="preserve">8.908 visualizaciones a nuestros videos. Estas herramientas permiten que los ciudadanos interactúen con comentarios directos sobre las noticias que genera la entidad. Comunicación interna: se realizaron 50 ediciones del Boletín Mi Ambiente Interno socializando diferentes temas de interés para los servidores de la entidad. Carteleras digitales y correo interno: diariamente se actualizaron con información de la entidad y temas de interés ciudadano. Fondos de Pantalla: se socializaron distintos temas ambientales en los 12 fondos de pantalla. Se realizaron 26 eventos ambientales, 4 campañas y 6 celebraciones del calendario ecológico. Así mismo se realizó el diseño y producción de 723 piezas de </w:t>
            </w:r>
            <w:proofErr w:type="gramStart"/>
            <w:r w:rsidRPr="0082562E">
              <w:rPr>
                <w:rFonts w:ascii="Arial" w:hAnsi="Arial" w:cs="Arial"/>
                <w:b/>
                <w:sz w:val="16"/>
                <w:szCs w:val="16"/>
              </w:rPr>
              <w:t>comunicación (gráficas y audiovisuales</w:t>
            </w:r>
            <w:proofErr w:type="gramEnd"/>
            <w:r w:rsidRPr="0082562E">
              <w:rPr>
                <w:rFonts w:ascii="Arial" w:hAnsi="Arial" w:cs="Arial"/>
                <w:b/>
                <w:sz w:val="16"/>
                <w:szCs w:val="16"/>
              </w:rPr>
              <w:t>). Acciones de comunicación que permiten dar cumplimiento al 100% del avance total programado para el periodo.</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Socialización y Corresponsabilidad</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Información y Comunicaciones</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1356/2015, 1260/2015,  1014/2015,  1107/2015,  1360/2015,  1365/2015,  006/2015,  015/2015, 008/2015, 029/2015, 313/2015, 684/2015, 718/2015,  207/2015, 013/2015,  007/2015,  652/2015, 777/2015,  779/2015, 1383/2015,  1301/2015,  1312/2015.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Cada una de las actividades  permitió divulgar  a través de estrategias de información y comunicaciones  algunas de las problemáticas ambientales y sus posibles soluciones. De igual forma con las acciones realizadas se entregó a la ciudadanía información veraz, sobre la gestión ambiental adelantada por la Secretaría Distrital de Ambiente. </w:t>
            </w:r>
          </w:p>
        </w:tc>
      </w:tr>
      <w:tr w:rsidR="0082562E" w:rsidRPr="0082562E" w:rsidTr="0082562E">
        <w:trPr>
          <w:trHeight w:val="1755"/>
        </w:trPr>
        <w:tc>
          <w:tcPr>
            <w:tcW w:w="1129"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817</w:t>
            </w:r>
          </w:p>
        </w:tc>
        <w:tc>
          <w:tcPr>
            <w:tcW w:w="2410"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429 - Creación y puesta en marcha de 20 procesos locales de comunicación alternativa y diversa</w:t>
            </w:r>
          </w:p>
        </w:tc>
        <w:tc>
          <w:tcPr>
            <w:tcW w:w="297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9. Realizar el diseño de tres  herramientas de comunicación que permitan fortalecer los escenarios de participación ciudadana en la gestión ambiental de Bogotá e implementarlas en el transcurso de la vigencia</w:t>
            </w:r>
          </w:p>
        </w:tc>
        <w:tc>
          <w:tcPr>
            <w:tcW w:w="2693"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 xml:space="preserve">Para la vigencia 2015 en las herramientas de comunicación, se realizaron los siguientes avances: Actualización de la biblioteca virtual con los documentos: cartilla de Cambio Climático, libro Inventario de gases efecto invernadero, libro "Calidad de Recurso Hídrico de Bogotá 2012-2013”, “boletín número PACA Distrital”. “guía para la elaboración del plan de gestión de residuos de construcción y demolición - RCD en la obra 2015, actualización de la “cartilla de RCD”, libro “Las cifras del medio ambiente una aproximación de índices sintéticos de calidad y de gestión ambiental, a través de la información del Observatorio Ambiental de Bogotá – OAB”, cartilla de Política Pública de Bienestar y Protección Animal, cartilla Techos Verdes, Las cifras del medio ambiente, Guía práctica de Techos Verdes y Jardines Verticales, Educación Ambiental y Posconflicto, Al </w:t>
            </w:r>
            <w:r w:rsidRPr="0082562E">
              <w:rPr>
                <w:rFonts w:ascii="Arial" w:hAnsi="Arial" w:cs="Arial"/>
                <w:b/>
                <w:sz w:val="16"/>
                <w:szCs w:val="16"/>
              </w:rPr>
              <w:lastRenderedPageBreak/>
              <w:t>alma de los humedales, libro de Plan de Adaptación y Mitigación al Cambio Climático, Guía de cárnicos y la Guía de Franjas de control Ambiental.</w:t>
            </w:r>
            <w:r w:rsidRPr="0082562E">
              <w:rPr>
                <w:rFonts w:ascii="Arial" w:hAnsi="Arial" w:cs="Arial"/>
                <w:b/>
                <w:sz w:val="16"/>
                <w:szCs w:val="16"/>
              </w:rPr>
              <w:br/>
              <w:t>Respecto a la Herramienta Mi parche Ambiental, se alimentó la herramienta con:  diseño de la sección "Humedales de Bogotá", actualización de la sección "Humedales de Bogotá", publicación de las infografías adopción animal de gatos y perros, con enlace a zoonosis, implementación de la sección: La nota animal, la cual se puede consultar en el link www.ambientebogota.gov.co/web/web-ninos/la-nota-animal, cargue del juego didáctico sobre residuos y actualizaron los mensajes para la temporada navideña.</w:t>
            </w:r>
          </w:p>
        </w:tc>
        <w:tc>
          <w:tcPr>
            <w:tcW w:w="144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lastRenderedPageBreak/>
              <w:t>Socialización y Corresponsabilidad</w:t>
            </w:r>
          </w:p>
        </w:tc>
        <w:tc>
          <w:tcPr>
            <w:tcW w:w="1767"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Información y Comunicaciones</w:t>
            </w:r>
          </w:p>
        </w:tc>
        <w:tc>
          <w:tcPr>
            <w:tcW w:w="2385"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1161/2015</w:t>
            </w:r>
          </w:p>
        </w:tc>
        <w:tc>
          <w:tcPr>
            <w:tcW w:w="2952" w:type="dxa"/>
            <w:hideMark/>
          </w:tcPr>
          <w:p w:rsidR="001C6580" w:rsidRPr="0082562E" w:rsidRDefault="001C6580" w:rsidP="0082562E">
            <w:pPr>
              <w:jc w:val="both"/>
              <w:rPr>
                <w:rFonts w:ascii="Arial" w:hAnsi="Arial" w:cs="Arial"/>
                <w:b/>
                <w:sz w:val="16"/>
                <w:szCs w:val="16"/>
              </w:rPr>
            </w:pPr>
            <w:r w:rsidRPr="0082562E">
              <w:rPr>
                <w:rFonts w:ascii="Arial" w:hAnsi="Arial" w:cs="Arial"/>
                <w:b/>
                <w:sz w:val="16"/>
                <w:szCs w:val="16"/>
              </w:rPr>
              <w:t>El fortalecimiento y constante alimentación  de las herramientas de comunicación, durante la vigencia 2015, permitieron informar de manera oportura a la ciudadanía, a través de nuestra página web www.ambientebogota.gov.co, de la biblioteca virtual y de la página web para niños y niñas "mi parche ambiental", sobre la gestión realizada por la Secretaría Distrital de Ambiente.</w:t>
            </w:r>
          </w:p>
        </w:tc>
      </w:tr>
    </w:tbl>
    <w:p w:rsidR="001C6580" w:rsidRDefault="001C6580" w:rsidP="007562F0">
      <w:pPr>
        <w:rPr>
          <w:rFonts w:ascii="Arial" w:hAnsi="Arial" w:cs="Arial"/>
          <w:b/>
        </w:rPr>
      </w:pPr>
    </w:p>
    <w:p w:rsidR="00352A7F" w:rsidRDefault="00352A7F" w:rsidP="007562F0">
      <w:pPr>
        <w:rPr>
          <w:rFonts w:ascii="Arial" w:hAnsi="Arial" w:cs="Arial"/>
          <w:b/>
        </w:rPr>
      </w:pPr>
    </w:p>
    <w:p w:rsidR="00352A7F" w:rsidRDefault="00352A7F" w:rsidP="007562F0">
      <w:pPr>
        <w:rPr>
          <w:rFonts w:ascii="Arial" w:hAnsi="Arial" w:cs="Arial"/>
          <w:b/>
        </w:rPr>
      </w:pPr>
    </w:p>
    <w:p w:rsidR="00417DC0" w:rsidRDefault="00417DC0" w:rsidP="007562F0">
      <w:pPr>
        <w:rPr>
          <w:rFonts w:ascii="Arial" w:hAnsi="Arial" w:cs="Arial"/>
          <w:b/>
        </w:rPr>
      </w:pPr>
    </w:p>
    <w:p w:rsidR="00417DC0" w:rsidRDefault="00417DC0" w:rsidP="00417DC0">
      <w:pPr>
        <w:rPr>
          <w:rFonts w:ascii="Arial" w:hAnsi="Arial" w:cs="Arial"/>
        </w:rPr>
      </w:pPr>
    </w:p>
    <w:tbl>
      <w:tblPr>
        <w:tblStyle w:val="Tablaconcuadrcula"/>
        <w:tblW w:w="0" w:type="auto"/>
        <w:tblLook w:val="04A0" w:firstRow="1" w:lastRow="0" w:firstColumn="1" w:lastColumn="0" w:noHBand="0" w:noVBand="1"/>
      </w:tblPr>
      <w:tblGrid>
        <w:gridCol w:w="1114"/>
        <w:gridCol w:w="1284"/>
        <w:gridCol w:w="2417"/>
        <w:gridCol w:w="3791"/>
        <w:gridCol w:w="1595"/>
        <w:gridCol w:w="2127"/>
        <w:gridCol w:w="1984"/>
        <w:gridCol w:w="3402"/>
      </w:tblGrid>
      <w:tr w:rsidR="00417DC0" w:rsidRPr="00417DC0" w:rsidTr="00417DC0">
        <w:trPr>
          <w:trHeight w:val="690"/>
          <w:tblHeader/>
        </w:trPr>
        <w:tc>
          <w:tcPr>
            <w:tcW w:w="17714" w:type="dxa"/>
            <w:gridSpan w:val="8"/>
            <w:shd w:val="clear" w:color="auto" w:fill="FFE599" w:themeFill="accent4" w:themeFillTint="66"/>
            <w:vAlign w:val="center"/>
          </w:tcPr>
          <w:p w:rsidR="00417DC0" w:rsidRPr="00417DC0" w:rsidRDefault="000819FE" w:rsidP="00417DC0">
            <w:pPr>
              <w:tabs>
                <w:tab w:val="left" w:pos="1550"/>
              </w:tabs>
              <w:jc w:val="center"/>
              <w:rPr>
                <w:rFonts w:ascii="Arial" w:hAnsi="Arial" w:cs="Arial"/>
                <w:b/>
                <w:bCs/>
                <w:sz w:val="16"/>
                <w:szCs w:val="16"/>
              </w:rPr>
            </w:pPr>
            <w:r>
              <w:rPr>
                <w:rFonts w:ascii="Arial" w:hAnsi="Arial" w:cs="Arial"/>
                <w:b/>
                <w:sz w:val="24"/>
                <w:szCs w:val="24"/>
              </w:rPr>
              <w:t xml:space="preserve">844. </w:t>
            </w:r>
            <w:r w:rsidR="00417DC0" w:rsidRPr="00417DC0">
              <w:rPr>
                <w:rFonts w:ascii="Arial" w:hAnsi="Arial" w:cs="Arial"/>
                <w:b/>
                <w:sz w:val="24"/>
                <w:szCs w:val="24"/>
              </w:rPr>
              <w:t>Fortalecimiento De La Función Administrativa Y</w:t>
            </w:r>
            <w:r>
              <w:rPr>
                <w:rFonts w:ascii="Arial" w:hAnsi="Arial" w:cs="Arial"/>
                <w:b/>
                <w:sz w:val="24"/>
                <w:szCs w:val="24"/>
              </w:rPr>
              <w:t xml:space="preserve"> 956</w:t>
            </w:r>
            <w:r w:rsidR="00417DC0" w:rsidRPr="00417DC0">
              <w:rPr>
                <w:rFonts w:ascii="Arial" w:hAnsi="Arial" w:cs="Arial"/>
                <w:b/>
                <w:sz w:val="24"/>
                <w:szCs w:val="24"/>
              </w:rPr>
              <w:t xml:space="preserve"> Desarrollo Institucional. Y Cultura De Transparencia, Probidad Y Control Social A La Gestión Pública En La Secretaría Distrital De Ambiente</w:t>
            </w:r>
          </w:p>
        </w:tc>
      </w:tr>
      <w:tr w:rsidR="00417DC0" w:rsidRPr="00417DC0" w:rsidTr="00417DC0">
        <w:trPr>
          <w:trHeight w:val="1800"/>
          <w:tblHeader/>
        </w:trPr>
        <w:tc>
          <w:tcPr>
            <w:tcW w:w="1114"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 xml:space="preserve">PROYECTO DE INVERSIÓN </w:t>
            </w:r>
          </w:p>
        </w:tc>
        <w:tc>
          <w:tcPr>
            <w:tcW w:w="1284"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META PACA</w:t>
            </w:r>
          </w:p>
        </w:tc>
        <w:tc>
          <w:tcPr>
            <w:tcW w:w="2417"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ACTIVIDADES PROGRAMADAS</w:t>
            </w:r>
          </w:p>
        </w:tc>
        <w:tc>
          <w:tcPr>
            <w:tcW w:w="3791"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ACTIVIDADES EJECUTADAS</w:t>
            </w:r>
          </w:p>
        </w:tc>
        <w:tc>
          <w:tcPr>
            <w:tcW w:w="1595"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OBJETIVO PGA</w:t>
            </w:r>
          </w:p>
        </w:tc>
        <w:tc>
          <w:tcPr>
            <w:tcW w:w="2127"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ESTRATEGIA PGA</w:t>
            </w:r>
          </w:p>
        </w:tc>
        <w:tc>
          <w:tcPr>
            <w:tcW w:w="1984"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CONTRATOS MEDIANTE LOS CUALES SE EJECUTÒ LA ACTIVIDAD</w:t>
            </w:r>
          </w:p>
        </w:tc>
        <w:tc>
          <w:tcPr>
            <w:tcW w:w="3402" w:type="dxa"/>
            <w:shd w:val="clear" w:color="auto" w:fill="FFE599" w:themeFill="accent4" w:themeFillTint="66"/>
            <w:vAlign w:val="center"/>
          </w:tcPr>
          <w:p w:rsidR="00417DC0" w:rsidRPr="00417DC0" w:rsidRDefault="00417DC0" w:rsidP="00417DC0">
            <w:pPr>
              <w:tabs>
                <w:tab w:val="left" w:pos="1550"/>
              </w:tabs>
              <w:jc w:val="both"/>
              <w:rPr>
                <w:rFonts w:ascii="Arial" w:hAnsi="Arial" w:cs="Arial"/>
                <w:b/>
                <w:bCs/>
                <w:sz w:val="16"/>
                <w:szCs w:val="16"/>
              </w:rPr>
            </w:pPr>
            <w:r w:rsidRPr="00417DC0">
              <w:rPr>
                <w:rFonts w:ascii="Arial" w:hAnsi="Arial" w:cs="Arial"/>
                <w:b/>
                <w:bCs/>
                <w:sz w:val="16"/>
                <w:szCs w:val="16"/>
              </w:rPr>
              <w:t>COHERENCIA Y CONCORDANCIA QUE GUARDA CADA ACTIVIDAD CON LOS OBJETIVOS Y ESTRATEGIAS DEL PLAN DE GESTIÓN AMBIENTAL DEL DISTRITO CAPITAL, QUE SIRVIERON DE JUSTIFICACIÓN PARA SU INCORPORACIÓN DENTRO DE PLAN DE ACCIÓN CUATRIENAL AMBIENTAL-PACA</w:t>
            </w:r>
          </w:p>
        </w:tc>
      </w:tr>
      <w:tr w:rsidR="00417DC0" w:rsidRPr="00417DC0" w:rsidTr="00417DC0">
        <w:trPr>
          <w:trHeight w:val="45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Revisión integral de cada uno de los expedientes con impulso procesal   de la Oficina de Control Disciplinario</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Commprendiéndose dentro del impulso procesal la gestión en cada uno de los expedientes que se adelantan en la Subsecretaria General y de Control Disciplinario, como son diligencias de versiones libres, declaraciones juramentadas, práctica y valoración de pruebas, elaboración y sustanciación de Autos de Apertura de Indagaciones preliminares y de Autos de Apertura de Investigaciones Disciplinarias, Elaboración de Edictos y Estados, notificaciones personales, autos de cierre de investigación, autos de prórroga de la investigaciones, autos de remisión por competencia y fallos de primera instancia. Todo acorde con el procedimiento disciplinario reglado en la Ley 734 de 2002 y 1474 de 2011. Se cierra el cuarto trimestre  de 2015 con  Cincuenta y Cinco (55) expedientes activos.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235/2015 </w:t>
            </w:r>
            <w:r w:rsidRPr="00417DC0">
              <w:rPr>
                <w:rFonts w:ascii="Arial" w:hAnsi="Arial" w:cs="Arial"/>
                <w:sz w:val="16"/>
                <w:szCs w:val="16"/>
              </w:rPr>
              <w:br/>
              <w:t>734/2015</w:t>
            </w:r>
            <w:r w:rsidRPr="00417DC0">
              <w:rPr>
                <w:rFonts w:ascii="Arial" w:hAnsi="Arial" w:cs="Arial"/>
                <w:sz w:val="16"/>
                <w:szCs w:val="16"/>
              </w:rPr>
              <w:br/>
              <w:t>1250/2015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La actividad corresponde totalmente con la funcion institucional ya que representa una necesidad institucional y un deber funcional con el obejtivo de generar corresponsabilidad con la sociedad civil que espera una entidad eficiente y trasparente en sus obligaciones.</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Diligenciar y actualizar la Plataforma del Sistema Distrital de Asuntos Disciplinarios, de la Alcaldía Mayor de Bogotá D. C., relacionando los procesos que se adelanten en la Oficina de Control Disciplinario de la Entidad.</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La Subsecretaria General de Control Disciplinario, desarrollo en la plataforma SIDD la alimentacion del 100%  de expedientes, con su respectivo impulso procesal. Para un cumplimiento total al finalizar el año 2015.</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277/2015 </w:t>
            </w:r>
            <w:r w:rsidRPr="00417DC0">
              <w:rPr>
                <w:rFonts w:ascii="Arial" w:hAnsi="Arial" w:cs="Arial"/>
                <w:sz w:val="16"/>
                <w:szCs w:val="16"/>
              </w:rPr>
              <w:br/>
              <w:t>1249/2015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La actividad corresponde totalmente con la funcion institucional ya que representa una actividad de gran importancia en cumplimiento de la normatividad y mandato funcional de la entidad.</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Propiciar la  relación armónica entre la SDA y los entes de control político y ofrecer respuesta oportuna a los requerimientos por ellos presentados.</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RELACIONES DE LA SDA CON EL CONCEJO DE BOGOTÁ D.C.  - ORGANISMO DE CONTROL POLÍTICO:</w:t>
            </w:r>
            <w:r w:rsidRPr="00417DC0">
              <w:rPr>
                <w:rFonts w:ascii="Arial" w:hAnsi="Arial" w:cs="Arial"/>
                <w:sz w:val="16"/>
                <w:szCs w:val="16"/>
              </w:rPr>
              <w:br/>
            </w:r>
            <w:r w:rsidRPr="00417DC0">
              <w:rPr>
                <w:rFonts w:ascii="Arial" w:hAnsi="Arial" w:cs="Arial"/>
                <w:sz w:val="16"/>
                <w:szCs w:val="16"/>
              </w:rPr>
              <w:br/>
              <w:t>Respuesta a solicitudes y controles políticos radicados por los Concejales de las diferentes bancadas que tienen representación en la Corporación.</w:t>
            </w:r>
            <w:r w:rsidRPr="00417DC0">
              <w:rPr>
                <w:rFonts w:ascii="Arial" w:hAnsi="Arial" w:cs="Arial"/>
                <w:sz w:val="16"/>
                <w:szCs w:val="16"/>
              </w:rPr>
              <w:br/>
              <w:t>Estudio y emisión de comentarios a Proyectos de Acuerdo, radicados por el Concejo de Bogotá y solicitados por la Secretaría Distrital de Gobierno en el trámite de primer y segundo debate y/o sanción del Señor Alcalde; cada concepto contiene análisis jurídico, técnico, financiero y de conveniencia.</w:t>
            </w:r>
            <w:r w:rsidRPr="00417DC0">
              <w:rPr>
                <w:rFonts w:ascii="Arial" w:hAnsi="Arial" w:cs="Arial"/>
                <w:sz w:val="16"/>
                <w:szCs w:val="16"/>
              </w:rPr>
              <w:br/>
              <w:t>Atención a proposiciones aprobadas en las diferentes comisiones y/o plenaria del Concejo Distrital, por iniciativa de los Concejales de las distintas Bancadas.</w:t>
            </w:r>
            <w:r w:rsidRPr="00417DC0">
              <w:rPr>
                <w:rFonts w:ascii="Arial" w:hAnsi="Arial" w:cs="Arial"/>
                <w:sz w:val="16"/>
                <w:szCs w:val="16"/>
              </w:rPr>
              <w:br/>
              <w:t>Acompañamiento y atención a citaciones e invitaciones realizadas por el Concejo de Bogotá a Sesiones Plenarias y de Comisiones Permanentes, en las cuales se adelantaron debates de Control Político y/o Proyectos de Acuerdo.</w:t>
            </w:r>
            <w:r w:rsidRPr="00417DC0">
              <w:rPr>
                <w:rFonts w:ascii="Arial" w:hAnsi="Arial" w:cs="Arial"/>
                <w:sz w:val="16"/>
                <w:szCs w:val="16"/>
              </w:rPr>
              <w:br/>
              <w:t>Coordinación de mesas de trabajo, a solicitud de Concejales encaminadas a dilucidar asuntos competencia de la Entidad.</w:t>
            </w:r>
            <w:r w:rsidRPr="00417DC0">
              <w:rPr>
                <w:rFonts w:ascii="Arial" w:hAnsi="Arial" w:cs="Arial"/>
                <w:sz w:val="16"/>
                <w:szCs w:val="16"/>
              </w:rPr>
              <w:br/>
              <w:t xml:space="preserve">Coordinación, estudio, revisión y emisión de comentarios al Proyectos de Decreto </w:t>
            </w:r>
            <w:r w:rsidRPr="00417DC0">
              <w:rPr>
                <w:rFonts w:ascii="Arial" w:hAnsi="Arial" w:cs="Arial"/>
                <w:sz w:val="16"/>
                <w:szCs w:val="16"/>
              </w:rPr>
              <w:br/>
              <w:t xml:space="preserve">Coordinación para la presentación de Proyectos de Acuerdo ante el Consejo de Gobierno </w:t>
            </w:r>
            <w:r w:rsidRPr="00417DC0">
              <w:rPr>
                <w:rFonts w:ascii="Arial" w:hAnsi="Arial" w:cs="Arial"/>
                <w:sz w:val="16"/>
                <w:szCs w:val="16"/>
              </w:rPr>
              <w:br/>
              <w:t xml:space="preserve">Asistencia y participación a  Comités Distritales de Análisis y Relaciones Estratégicas con el Concejo de Bogotá convocados por la DSAE de la Secretaría Distrital de Gobierno en 2015, </w:t>
            </w:r>
            <w:r w:rsidRPr="00417DC0">
              <w:rPr>
                <w:rFonts w:ascii="Arial" w:hAnsi="Arial" w:cs="Arial"/>
                <w:sz w:val="16"/>
                <w:szCs w:val="16"/>
              </w:rPr>
              <w:br/>
            </w:r>
            <w:r w:rsidRPr="00417DC0">
              <w:rPr>
                <w:rFonts w:ascii="Arial" w:hAnsi="Arial" w:cs="Arial"/>
                <w:sz w:val="16"/>
                <w:szCs w:val="16"/>
              </w:rPr>
              <w:br/>
              <w:t>RELACIONES SDA Y EL CONGRESO DE LA REPÚBLICA:Asistencia a sesiones de algunas Comisiónes de la Cámara en las cuales se debatieron temas sobre la situación de la minería en Bogotá y Cerros Orientales entre otras</w:t>
            </w:r>
            <w:r w:rsidRPr="00417DC0">
              <w:rPr>
                <w:rFonts w:ascii="Arial" w:hAnsi="Arial" w:cs="Arial"/>
                <w:sz w:val="16"/>
                <w:szCs w:val="16"/>
              </w:rPr>
              <w:br/>
              <w:t xml:space="preserve">Atención oportuna a requerimientos de control </w:t>
            </w:r>
            <w:r w:rsidRPr="00417DC0">
              <w:rPr>
                <w:rFonts w:ascii="Arial" w:hAnsi="Arial" w:cs="Arial"/>
                <w:sz w:val="16"/>
                <w:szCs w:val="16"/>
              </w:rPr>
              <w:lastRenderedPageBreak/>
              <w:t>político formulados por los Hs. Congresistas.</w:t>
            </w:r>
            <w:r w:rsidRPr="00417DC0">
              <w:rPr>
                <w:rFonts w:ascii="Arial" w:hAnsi="Arial" w:cs="Arial"/>
                <w:sz w:val="16"/>
                <w:szCs w:val="16"/>
              </w:rPr>
              <w:br/>
            </w:r>
            <w:r w:rsidRPr="00417DC0">
              <w:rPr>
                <w:rFonts w:ascii="Arial" w:hAnsi="Arial" w:cs="Arial"/>
                <w:sz w:val="16"/>
                <w:szCs w:val="16"/>
              </w:rPr>
              <w:br/>
              <w:t>SOLICITUDES ORGANISMOS DE CONTROL Y OTRAS ENTIDADES:</w:t>
            </w:r>
            <w:r w:rsidRPr="00417DC0">
              <w:rPr>
                <w:rFonts w:ascii="Arial" w:hAnsi="Arial" w:cs="Arial"/>
                <w:sz w:val="16"/>
                <w:szCs w:val="16"/>
              </w:rPr>
              <w:br/>
              <w:t>Respuesta y atención a solicitudes elevadas por organismos de control (Personería de Bogotá, Contraloría de Bogotá y Veeduría Distrital) y entidades públicas del orden distrital tales como la Defensoría del Espacio Público y el IDIGER.</w:t>
            </w:r>
            <w:r w:rsidRPr="00417DC0">
              <w:rPr>
                <w:rFonts w:ascii="Arial" w:hAnsi="Arial" w:cs="Arial"/>
                <w:sz w:val="16"/>
                <w:szCs w:val="16"/>
              </w:rPr>
              <w:br/>
              <w:t>Coordinación para la participación de la SDA en sesiones y/o reuniones convocadas por las diferentes Juntas Administradoras y Alcaldías Locales.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134/2015</w:t>
            </w:r>
            <w:r w:rsidRPr="00417DC0">
              <w:rPr>
                <w:rFonts w:ascii="Arial" w:hAnsi="Arial" w:cs="Arial"/>
                <w:sz w:val="16"/>
                <w:szCs w:val="16"/>
              </w:rPr>
              <w:br/>
              <w:t xml:space="preserve"> 171/2015</w:t>
            </w:r>
            <w:r w:rsidRPr="00417DC0">
              <w:rPr>
                <w:rFonts w:ascii="Arial" w:hAnsi="Arial" w:cs="Arial"/>
                <w:sz w:val="16"/>
                <w:szCs w:val="16"/>
              </w:rPr>
              <w:br/>
              <w:t xml:space="preserve"> 1349/2015</w:t>
            </w:r>
            <w:r w:rsidRPr="00417DC0">
              <w:rPr>
                <w:rFonts w:ascii="Arial" w:hAnsi="Arial" w:cs="Arial"/>
                <w:sz w:val="16"/>
                <w:szCs w:val="16"/>
              </w:rPr>
              <w:br/>
              <w:t xml:space="preserve"> 1245/2015 </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La relacion política de la institucional se relaciona directamente con el cumplimiento de un deber con la sociedad y corresponsablemente con la comunidad.  Hace parte del fortalecimiento institucional de la entidad ya que la imaen, buen manejo de relacions y respuestas oportunas y elaboradas de acuerdo con los requerimientos de estos entes hacen parte de la intitucinalidad en su maxima expresión.</w:t>
            </w:r>
          </w:p>
        </w:tc>
      </w:tr>
      <w:tr w:rsidR="00417DC0" w:rsidRPr="00417DC0" w:rsidTr="00417DC0">
        <w:trPr>
          <w:trHeight w:val="684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Reprogramación, actualización y seguimiento de los proyectos de inversión de la SDA, en el marco del Plan de Desarrollo Bogotá Humana, en sus componentes de Segplan.</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Revisión de la actualización de los 12 proyectos de inversión de la SDA, con sus respectivas fichas EBI D correspondiente al IV trimestre de 2015 y posterior cargue en SEGPLAN .Igualmente se  dio asesoría y/o orientación a los profesionales enlace de los gerentes de los  proyectos de inversión de la SDA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093/2015</w:t>
            </w:r>
            <w:r w:rsidRPr="00417DC0">
              <w:rPr>
                <w:rFonts w:ascii="Arial" w:hAnsi="Arial" w:cs="Arial"/>
                <w:sz w:val="16"/>
                <w:szCs w:val="16"/>
              </w:rPr>
              <w:br/>
              <w:t>373/2015</w:t>
            </w:r>
            <w:r w:rsidRPr="00417DC0">
              <w:rPr>
                <w:rFonts w:ascii="Arial" w:hAnsi="Arial" w:cs="Arial"/>
                <w:sz w:val="16"/>
                <w:szCs w:val="16"/>
              </w:rPr>
              <w:br/>
              <w:t>420/2015</w:t>
            </w:r>
            <w:r w:rsidRPr="00417DC0">
              <w:rPr>
                <w:rFonts w:ascii="Arial" w:hAnsi="Arial" w:cs="Arial"/>
                <w:sz w:val="16"/>
                <w:szCs w:val="16"/>
              </w:rPr>
              <w:br/>
              <w:t>458/2015</w:t>
            </w:r>
            <w:r w:rsidRPr="00417DC0">
              <w:rPr>
                <w:rFonts w:ascii="Arial" w:hAnsi="Arial" w:cs="Arial"/>
                <w:sz w:val="16"/>
                <w:szCs w:val="16"/>
              </w:rPr>
              <w:br/>
              <w:t>461/2015</w:t>
            </w:r>
            <w:r w:rsidRPr="00417DC0">
              <w:rPr>
                <w:rFonts w:ascii="Arial" w:hAnsi="Arial" w:cs="Arial"/>
                <w:sz w:val="16"/>
                <w:szCs w:val="16"/>
              </w:rPr>
              <w:br/>
              <w:t>802/2015</w:t>
            </w:r>
            <w:r w:rsidRPr="00417DC0">
              <w:rPr>
                <w:rFonts w:ascii="Arial" w:hAnsi="Arial" w:cs="Arial"/>
                <w:sz w:val="16"/>
                <w:szCs w:val="16"/>
              </w:rPr>
              <w:br/>
              <w:t xml:space="preserve">960/2015 </w:t>
            </w:r>
            <w:r w:rsidRPr="00417DC0">
              <w:rPr>
                <w:rFonts w:ascii="Arial" w:hAnsi="Arial" w:cs="Arial"/>
                <w:sz w:val="16"/>
                <w:szCs w:val="16"/>
              </w:rPr>
              <w:br/>
              <w:t>1004/2015</w:t>
            </w:r>
            <w:r w:rsidRPr="00417DC0">
              <w:rPr>
                <w:rFonts w:ascii="Arial" w:hAnsi="Arial" w:cs="Arial"/>
                <w:sz w:val="16"/>
                <w:szCs w:val="16"/>
              </w:rPr>
              <w:br/>
              <w:t xml:space="preserve"> 467/2015 </w:t>
            </w:r>
            <w:r w:rsidRPr="00417DC0">
              <w:rPr>
                <w:rFonts w:ascii="Arial" w:hAnsi="Arial" w:cs="Arial"/>
                <w:sz w:val="16"/>
                <w:szCs w:val="16"/>
              </w:rPr>
              <w:br/>
              <w:t>152/2015</w:t>
            </w:r>
            <w:r w:rsidRPr="00417DC0">
              <w:rPr>
                <w:rFonts w:ascii="Arial" w:hAnsi="Arial" w:cs="Arial"/>
                <w:sz w:val="16"/>
                <w:szCs w:val="16"/>
              </w:rPr>
              <w:br/>
              <w:t xml:space="preserve"> 451/2015</w:t>
            </w:r>
            <w:r w:rsidRPr="00417DC0">
              <w:rPr>
                <w:rFonts w:ascii="Arial" w:hAnsi="Arial" w:cs="Arial"/>
                <w:sz w:val="16"/>
                <w:szCs w:val="16"/>
              </w:rPr>
              <w:br/>
              <w:t xml:space="preserve"> 480/2015</w:t>
            </w:r>
            <w:r w:rsidRPr="00417DC0">
              <w:rPr>
                <w:rFonts w:ascii="Arial" w:hAnsi="Arial" w:cs="Arial"/>
                <w:sz w:val="16"/>
                <w:szCs w:val="16"/>
              </w:rPr>
              <w:br/>
              <w:t xml:space="preserve"> 305/2015</w:t>
            </w:r>
            <w:r w:rsidRPr="00417DC0">
              <w:rPr>
                <w:rFonts w:ascii="Arial" w:hAnsi="Arial" w:cs="Arial"/>
                <w:sz w:val="16"/>
                <w:szCs w:val="16"/>
              </w:rPr>
              <w:br/>
              <w:t xml:space="preserve"> 392/2015</w:t>
            </w:r>
            <w:r w:rsidRPr="00417DC0">
              <w:rPr>
                <w:rFonts w:ascii="Arial" w:hAnsi="Arial" w:cs="Arial"/>
                <w:sz w:val="16"/>
                <w:szCs w:val="16"/>
              </w:rPr>
              <w:br/>
              <w:t xml:space="preserve"> 470/2015 </w:t>
            </w:r>
            <w:r w:rsidRPr="00417DC0">
              <w:rPr>
                <w:rFonts w:ascii="Arial" w:hAnsi="Arial" w:cs="Arial"/>
                <w:sz w:val="16"/>
                <w:szCs w:val="16"/>
              </w:rPr>
              <w:br/>
              <w:t xml:space="preserve">425/2015 </w:t>
            </w:r>
            <w:r w:rsidRPr="00417DC0">
              <w:rPr>
                <w:rFonts w:ascii="Arial" w:hAnsi="Arial" w:cs="Arial"/>
                <w:sz w:val="16"/>
                <w:szCs w:val="16"/>
              </w:rPr>
              <w:br/>
              <w:t>809/2015</w:t>
            </w:r>
            <w:r w:rsidRPr="00417DC0">
              <w:rPr>
                <w:rFonts w:ascii="Arial" w:hAnsi="Arial" w:cs="Arial"/>
                <w:sz w:val="16"/>
                <w:szCs w:val="16"/>
              </w:rPr>
              <w:br/>
              <w:t xml:space="preserve"> 289/2015 </w:t>
            </w:r>
            <w:r w:rsidRPr="00417DC0">
              <w:rPr>
                <w:rFonts w:ascii="Arial" w:hAnsi="Arial" w:cs="Arial"/>
                <w:sz w:val="16"/>
                <w:szCs w:val="16"/>
              </w:rPr>
              <w:br/>
              <w:t>932/2015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Corresponde con los Objetivos y estrategias, teniendo en cuenta que la institucionalidad trasciende hacia la comunidad, con mayor relevancia para instituciones que deben velar por el cumplimiento normativo ambiental y por la calidad del ambiente de la ciudad ya que éste, brinda a los ciudadanos una mejor calidad de vida desde el estado de los recursos que lo rodean y le brindan al ciudadano el bienestar deseado en el entorno y en la ciudad.</w:t>
            </w:r>
            <w:r w:rsidRPr="00417DC0">
              <w:rPr>
                <w:rFonts w:ascii="Arial" w:hAnsi="Arial" w:cs="Arial"/>
                <w:sz w:val="16"/>
                <w:szCs w:val="16"/>
              </w:rPr>
              <w:br/>
            </w:r>
            <w:r w:rsidRPr="00417DC0">
              <w:rPr>
                <w:rFonts w:ascii="Arial" w:hAnsi="Arial" w:cs="Arial"/>
                <w:sz w:val="16"/>
                <w:szCs w:val="16"/>
              </w:rPr>
              <w:br/>
              <w:t>Mediante ésta conciencia, se genera una posición ciudadana frente al ideal de ciudad ambiental que desean.</w:t>
            </w:r>
            <w:r w:rsidRPr="00417DC0">
              <w:rPr>
                <w:rFonts w:ascii="Arial" w:hAnsi="Arial" w:cs="Arial"/>
                <w:sz w:val="16"/>
                <w:szCs w:val="16"/>
              </w:rPr>
              <w:br/>
            </w:r>
            <w:r w:rsidRPr="00417DC0">
              <w:rPr>
                <w:rFonts w:ascii="Arial" w:hAnsi="Arial" w:cs="Arial"/>
                <w:sz w:val="16"/>
                <w:szCs w:val="16"/>
              </w:rPr>
              <w:br/>
              <w:t>Una entidad eficiente, eficaz, con sistemas que le permiten dar respuesta y estar preparada para generar corresponsabilidad frente a los ciudadanos.  Con la infraestructura necesaria y con los mecanismos tecnológicos, operativos, administrativos, técnicos y jurídicos necesarios para atender los requerimientos ambientales de la ciudad.</w:t>
            </w:r>
          </w:p>
        </w:tc>
      </w:tr>
      <w:tr w:rsidR="00417DC0" w:rsidRPr="00417DC0" w:rsidTr="00417DC0">
        <w:trPr>
          <w:trHeight w:val="684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Seguimiento a la ejecución de los proyectos de inversión de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Revisión del seguimientode los 12 proyectos de inversión de la SDA, con sus respectivas fichas EBI D correspondiente al 2015 y posterior cargue en SEGPLAN. Seguidamente a la realización de los procesos de actualización y segimiento, se realizó la publicación en la página web de la entidad cumpliendo con el estatuto anticorrupción.Así mismo, se atendieron las solicitudes de </w:t>
            </w:r>
            <w:proofErr w:type="gramStart"/>
            <w:r w:rsidRPr="00417DC0">
              <w:rPr>
                <w:rFonts w:ascii="Arial" w:hAnsi="Arial" w:cs="Arial"/>
                <w:sz w:val="16"/>
                <w:szCs w:val="16"/>
              </w:rPr>
              <w:t>información ,</w:t>
            </w:r>
            <w:proofErr w:type="gramEnd"/>
            <w:r w:rsidRPr="00417DC0">
              <w:rPr>
                <w:rFonts w:ascii="Arial" w:hAnsi="Arial" w:cs="Arial"/>
                <w:sz w:val="16"/>
                <w:szCs w:val="16"/>
              </w:rPr>
              <w:t xml:space="preserve"> generación de reportes , informes de avance físico y de gestión  de los proyectos de inversión,  revisión de estudios previos para emisión de concepto de viabilidad . Adicionalmente se atendieron todas las solicitudes de modificaciones presupuestales internos y externos,  entre concepto de gastos, líneas de acción y proyectos de inversión.</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093/2015</w:t>
            </w:r>
            <w:r w:rsidRPr="00417DC0">
              <w:rPr>
                <w:rFonts w:ascii="Arial" w:hAnsi="Arial" w:cs="Arial"/>
                <w:sz w:val="16"/>
                <w:szCs w:val="16"/>
              </w:rPr>
              <w:br/>
              <w:t>373/2015</w:t>
            </w:r>
            <w:r w:rsidRPr="00417DC0">
              <w:rPr>
                <w:rFonts w:ascii="Arial" w:hAnsi="Arial" w:cs="Arial"/>
                <w:sz w:val="16"/>
                <w:szCs w:val="16"/>
              </w:rPr>
              <w:br/>
              <w:t>420/2015</w:t>
            </w:r>
            <w:r w:rsidRPr="00417DC0">
              <w:rPr>
                <w:rFonts w:ascii="Arial" w:hAnsi="Arial" w:cs="Arial"/>
                <w:sz w:val="16"/>
                <w:szCs w:val="16"/>
              </w:rPr>
              <w:br/>
              <w:t>458/2015</w:t>
            </w:r>
            <w:r w:rsidRPr="00417DC0">
              <w:rPr>
                <w:rFonts w:ascii="Arial" w:hAnsi="Arial" w:cs="Arial"/>
                <w:sz w:val="16"/>
                <w:szCs w:val="16"/>
              </w:rPr>
              <w:br/>
              <w:t>461/2015</w:t>
            </w:r>
            <w:r w:rsidRPr="00417DC0">
              <w:rPr>
                <w:rFonts w:ascii="Arial" w:hAnsi="Arial" w:cs="Arial"/>
                <w:sz w:val="16"/>
                <w:szCs w:val="16"/>
              </w:rPr>
              <w:br/>
              <w:t>802/2015</w:t>
            </w:r>
            <w:r w:rsidRPr="00417DC0">
              <w:rPr>
                <w:rFonts w:ascii="Arial" w:hAnsi="Arial" w:cs="Arial"/>
                <w:sz w:val="16"/>
                <w:szCs w:val="16"/>
              </w:rPr>
              <w:br/>
              <w:t xml:space="preserve">960/2015 </w:t>
            </w:r>
            <w:r w:rsidRPr="00417DC0">
              <w:rPr>
                <w:rFonts w:ascii="Arial" w:hAnsi="Arial" w:cs="Arial"/>
                <w:sz w:val="16"/>
                <w:szCs w:val="16"/>
              </w:rPr>
              <w:br/>
              <w:t>1004/2015</w:t>
            </w:r>
            <w:r w:rsidRPr="00417DC0">
              <w:rPr>
                <w:rFonts w:ascii="Arial" w:hAnsi="Arial" w:cs="Arial"/>
                <w:sz w:val="16"/>
                <w:szCs w:val="16"/>
              </w:rPr>
              <w:br/>
              <w:t xml:space="preserve"> 467/2015 </w:t>
            </w:r>
            <w:r w:rsidRPr="00417DC0">
              <w:rPr>
                <w:rFonts w:ascii="Arial" w:hAnsi="Arial" w:cs="Arial"/>
                <w:sz w:val="16"/>
                <w:szCs w:val="16"/>
              </w:rPr>
              <w:br/>
              <w:t>152/2015</w:t>
            </w:r>
            <w:r w:rsidRPr="00417DC0">
              <w:rPr>
                <w:rFonts w:ascii="Arial" w:hAnsi="Arial" w:cs="Arial"/>
                <w:sz w:val="16"/>
                <w:szCs w:val="16"/>
              </w:rPr>
              <w:br/>
              <w:t xml:space="preserve"> 451/2015</w:t>
            </w:r>
            <w:r w:rsidRPr="00417DC0">
              <w:rPr>
                <w:rFonts w:ascii="Arial" w:hAnsi="Arial" w:cs="Arial"/>
                <w:sz w:val="16"/>
                <w:szCs w:val="16"/>
              </w:rPr>
              <w:br/>
              <w:t xml:space="preserve"> 480/2015</w:t>
            </w:r>
            <w:r w:rsidRPr="00417DC0">
              <w:rPr>
                <w:rFonts w:ascii="Arial" w:hAnsi="Arial" w:cs="Arial"/>
                <w:sz w:val="16"/>
                <w:szCs w:val="16"/>
              </w:rPr>
              <w:br/>
              <w:t xml:space="preserve"> 305/2015</w:t>
            </w:r>
            <w:r w:rsidRPr="00417DC0">
              <w:rPr>
                <w:rFonts w:ascii="Arial" w:hAnsi="Arial" w:cs="Arial"/>
                <w:sz w:val="16"/>
                <w:szCs w:val="16"/>
              </w:rPr>
              <w:br/>
              <w:t xml:space="preserve"> 392/2015</w:t>
            </w:r>
            <w:r w:rsidRPr="00417DC0">
              <w:rPr>
                <w:rFonts w:ascii="Arial" w:hAnsi="Arial" w:cs="Arial"/>
                <w:sz w:val="16"/>
                <w:szCs w:val="16"/>
              </w:rPr>
              <w:br/>
              <w:t xml:space="preserve"> 470/2015 </w:t>
            </w:r>
            <w:r w:rsidRPr="00417DC0">
              <w:rPr>
                <w:rFonts w:ascii="Arial" w:hAnsi="Arial" w:cs="Arial"/>
                <w:sz w:val="16"/>
                <w:szCs w:val="16"/>
              </w:rPr>
              <w:br/>
              <w:t xml:space="preserve">425/2015 </w:t>
            </w:r>
            <w:r w:rsidRPr="00417DC0">
              <w:rPr>
                <w:rFonts w:ascii="Arial" w:hAnsi="Arial" w:cs="Arial"/>
                <w:sz w:val="16"/>
                <w:szCs w:val="16"/>
              </w:rPr>
              <w:br/>
              <w:t>809/2015</w:t>
            </w:r>
            <w:r w:rsidRPr="00417DC0">
              <w:rPr>
                <w:rFonts w:ascii="Arial" w:hAnsi="Arial" w:cs="Arial"/>
                <w:sz w:val="16"/>
                <w:szCs w:val="16"/>
              </w:rPr>
              <w:br/>
              <w:t xml:space="preserve"> 289/2015 </w:t>
            </w:r>
            <w:r w:rsidRPr="00417DC0">
              <w:rPr>
                <w:rFonts w:ascii="Arial" w:hAnsi="Arial" w:cs="Arial"/>
                <w:sz w:val="16"/>
                <w:szCs w:val="16"/>
              </w:rPr>
              <w:br/>
              <w:t>932/2015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representa un eje estratégico de la gestión intitucional ya que es la base de la garantia en la operatividad misional y de apoyo para producir y entregar a la comunidad acciones concretas en el territorio. Esto se logra atraves de una entidad integral y con una institucionalidad fortalecida</w:t>
            </w:r>
          </w:p>
        </w:tc>
      </w:tr>
      <w:tr w:rsidR="00417DC0" w:rsidRPr="00417DC0" w:rsidTr="00417DC0">
        <w:trPr>
          <w:trHeight w:val="468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Evaluación de avance en la gestión de los programas 17 "Recuperación rehabilitación y restauración de la estructura ecologíca principal del agua" y 18 "Estratégia territorial, regional frente al cambio climático", Plan de Desarrollo Distrital Bogotá Humana.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Elaborar y reportar para cargue en SEGPLAN del informe del Programa 17 y 18, correspondiente al 2015 de conformidad con la información reportada por las entidades responsables de la gestión de las actividades tendientes al cumplimiento de las metas asociadas a los mismos.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305/2015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representa un eje estratégico de la gestión intitucional ya que es la base de la garantia en la operatividad misional y de apoyo para producir y entregar a la comunidad acciones concretas en el territorio. Esto se logra atraves de una entidad integral y con una institucionalidad fortalecida</w:t>
            </w:r>
          </w:p>
        </w:tc>
      </w:tr>
      <w:tr w:rsidR="00417DC0" w:rsidRPr="00417DC0" w:rsidTr="00417DC0">
        <w:trPr>
          <w:trHeight w:val="180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Programación y seguimiento a productos, metas y resultados PMR</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Actualización, seguimiento y envío del PMR mensual de 2015.</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152/2015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representa un eje estratégico de la gestión intitucional ya que es la base de la garantia en la operatividad misional y de apoyo para producir y entregar a la comunidad acciones concretas en el territorio. Esto se logra atraves de una entidad integral y con una institucionalidad fortalecida</w:t>
            </w:r>
          </w:p>
        </w:tc>
      </w:tr>
      <w:tr w:rsidR="00417DC0" w:rsidRPr="00417DC0" w:rsidTr="00417DC0">
        <w:trPr>
          <w:trHeight w:val="75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Seguimiento a la programación, actualización y ejecución del plan de adquisiciones de los proyectos de inversión de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Se realizó la </w:t>
            </w:r>
            <w:proofErr w:type="gramStart"/>
            <w:r w:rsidRPr="00417DC0">
              <w:rPr>
                <w:rFonts w:ascii="Arial" w:hAnsi="Arial" w:cs="Arial"/>
                <w:sz w:val="16"/>
                <w:szCs w:val="16"/>
              </w:rPr>
              <w:t>revisión ,</w:t>
            </w:r>
            <w:proofErr w:type="gramEnd"/>
            <w:r w:rsidRPr="00417DC0">
              <w:rPr>
                <w:rFonts w:ascii="Arial" w:hAnsi="Arial" w:cs="Arial"/>
                <w:sz w:val="16"/>
                <w:szCs w:val="16"/>
              </w:rPr>
              <w:t xml:space="preserve"> actualización , consolidación y publicación del Plan Anual de Adquisiciones en los requermientos de Ley y con corte a 31 de Diciembre de 2015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093/2015</w:t>
            </w:r>
            <w:r w:rsidRPr="00417DC0">
              <w:rPr>
                <w:rFonts w:ascii="Arial" w:hAnsi="Arial" w:cs="Arial"/>
                <w:sz w:val="16"/>
                <w:szCs w:val="16"/>
              </w:rPr>
              <w:br/>
              <w:t>373/2015</w:t>
            </w:r>
            <w:r w:rsidRPr="00417DC0">
              <w:rPr>
                <w:rFonts w:ascii="Arial" w:hAnsi="Arial" w:cs="Arial"/>
                <w:sz w:val="16"/>
                <w:szCs w:val="16"/>
              </w:rPr>
              <w:br/>
              <w:t>420/2015</w:t>
            </w:r>
            <w:r w:rsidRPr="00417DC0">
              <w:rPr>
                <w:rFonts w:ascii="Arial" w:hAnsi="Arial" w:cs="Arial"/>
                <w:sz w:val="16"/>
                <w:szCs w:val="16"/>
              </w:rPr>
              <w:br/>
              <w:t>458/2015</w:t>
            </w:r>
            <w:r w:rsidRPr="00417DC0">
              <w:rPr>
                <w:rFonts w:ascii="Arial" w:hAnsi="Arial" w:cs="Arial"/>
                <w:sz w:val="16"/>
                <w:szCs w:val="16"/>
              </w:rPr>
              <w:br/>
              <w:t>461/2015</w:t>
            </w:r>
            <w:r w:rsidRPr="00417DC0">
              <w:rPr>
                <w:rFonts w:ascii="Arial" w:hAnsi="Arial" w:cs="Arial"/>
                <w:sz w:val="16"/>
                <w:szCs w:val="16"/>
              </w:rPr>
              <w:br/>
              <w:t>802/2015</w:t>
            </w:r>
            <w:r w:rsidRPr="00417DC0">
              <w:rPr>
                <w:rFonts w:ascii="Arial" w:hAnsi="Arial" w:cs="Arial"/>
                <w:sz w:val="16"/>
                <w:szCs w:val="16"/>
              </w:rPr>
              <w:br/>
              <w:t xml:space="preserve">960/2015 </w:t>
            </w:r>
            <w:r w:rsidRPr="00417DC0">
              <w:rPr>
                <w:rFonts w:ascii="Arial" w:hAnsi="Arial" w:cs="Arial"/>
                <w:sz w:val="16"/>
                <w:szCs w:val="16"/>
              </w:rPr>
              <w:br/>
              <w:t>1004/2015</w:t>
            </w:r>
            <w:r w:rsidRPr="00417DC0">
              <w:rPr>
                <w:rFonts w:ascii="Arial" w:hAnsi="Arial" w:cs="Arial"/>
                <w:sz w:val="16"/>
                <w:szCs w:val="16"/>
              </w:rPr>
              <w:br/>
              <w:t xml:space="preserve"> 467/2015 </w:t>
            </w:r>
            <w:r w:rsidRPr="00417DC0">
              <w:rPr>
                <w:rFonts w:ascii="Arial" w:hAnsi="Arial" w:cs="Arial"/>
                <w:sz w:val="16"/>
                <w:szCs w:val="16"/>
              </w:rPr>
              <w:br/>
              <w:t>152/2015</w:t>
            </w:r>
            <w:r w:rsidRPr="00417DC0">
              <w:rPr>
                <w:rFonts w:ascii="Arial" w:hAnsi="Arial" w:cs="Arial"/>
                <w:sz w:val="16"/>
                <w:szCs w:val="16"/>
              </w:rPr>
              <w:br/>
              <w:t xml:space="preserve"> 451/2015</w:t>
            </w:r>
            <w:r w:rsidRPr="00417DC0">
              <w:rPr>
                <w:rFonts w:ascii="Arial" w:hAnsi="Arial" w:cs="Arial"/>
                <w:sz w:val="16"/>
                <w:szCs w:val="16"/>
              </w:rPr>
              <w:br/>
              <w:t xml:space="preserve"> 480/2015</w:t>
            </w:r>
            <w:r w:rsidRPr="00417DC0">
              <w:rPr>
                <w:rFonts w:ascii="Arial" w:hAnsi="Arial" w:cs="Arial"/>
                <w:sz w:val="16"/>
                <w:szCs w:val="16"/>
              </w:rPr>
              <w:br/>
              <w:t xml:space="preserve"> 305/2015</w:t>
            </w:r>
            <w:r w:rsidRPr="00417DC0">
              <w:rPr>
                <w:rFonts w:ascii="Arial" w:hAnsi="Arial" w:cs="Arial"/>
                <w:sz w:val="16"/>
                <w:szCs w:val="16"/>
              </w:rPr>
              <w:br/>
              <w:t xml:space="preserve"> 392/2015</w:t>
            </w:r>
            <w:r w:rsidRPr="00417DC0">
              <w:rPr>
                <w:rFonts w:ascii="Arial" w:hAnsi="Arial" w:cs="Arial"/>
                <w:sz w:val="16"/>
                <w:szCs w:val="16"/>
              </w:rPr>
              <w:br/>
              <w:t xml:space="preserve"> 470/2015 </w:t>
            </w:r>
            <w:r w:rsidRPr="00417DC0">
              <w:rPr>
                <w:rFonts w:ascii="Arial" w:hAnsi="Arial" w:cs="Arial"/>
                <w:sz w:val="16"/>
                <w:szCs w:val="16"/>
              </w:rPr>
              <w:br/>
              <w:t xml:space="preserve">425/2015 </w:t>
            </w:r>
            <w:r w:rsidRPr="00417DC0">
              <w:rPr>
                <w:rFonts w:ascii="Arial" w:hAnsi="Arial" w:cs="Arial"/>
                <w:sz w:val="16"/>
                <w:szCs w:val="16"/>
              </w:rPr>
              <w:br/>
              <w:t>809/2015</w:t>
            </w:r>
            <w:r w:rsidRPr="00417DC0">
              <w:rPr>
                <w:rFonts w:ascii="Arial" w:hAnsi="Arial" w:cs="Arial"/>
                <w:sz w:val="16"/>
                <w:szCs w:val="16"/>
              </w:rPr>
              <w:br/>
              <w:t xml:space="preserve"> 289/2015 </w:t>
            </w:r>
            <w:r w:rsidRPr="00417DC0">
              <w:rPr>
                <w:rFonts w:ascii="Arial" w:hAnsi="Arial" w:cs="Arial"/>
                <w:sz w:val="16"/>
                <w:szCs w:val="16"/>
              </w:rPr>
              <w:br/>
              <w:t>932/2015</w:t>
            </w:r>
            <w:r w:rsidRPr="00417DC0">
              <w:rPr>
                <w:rFonts w:ascii="Arial" w:hAnsi="Arial" w:cs="Arial"/>
                <w:sz w:val="16"/>
                <w:szCs w:val="16"/>
              </w:rPr>
              <w:br/>
              <w:t>1240/2015</w:t>
            </w:r>
            <w:r w:rsidRPr="00417DC0">
              <w:rPr>
                <w:rFonts w:ascii="Arial" w:hAnsi="Arial" w:cs="Arial"/>
                <w:sz w:val="16"/>
                <w:szCs w:val="16"/>
              </w:rPr>
              <w:br/>
              <w:t>1244/2015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representa un eje estratégico de la gestión intitucional ya que es la base de la garantia en la operatividad misional y de apoyo para producir y entregar a la comunidad acciones concretas en el territorio. Esto se logra atraves de una entidad integral y con una institucionalidad fortalecida</w:t>
            </w:r>
          </w:p>
        </w:tc>
      </w:tr>
      <w:tr w:rsidR="00417DC0" w:rsidRPr="00417DC0" w:rsidTr="00417DC0">
        <w:trPr>
          <w:trHeight w:val="648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Programación, actualización, seguimiento y evaluación de los indicadores de la gestión de la entidad.</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Se Efectuó el seguimiento y cargue de indicadores de gestión de la entidad de los meses correspondientes al 2015, brindando la asesoría a las dependencias que lo requirieron en la modificación de sus indicadores. Adicionalmente, se hizo la publicación respectiva conforme la Ley 1712 de 2012 en la página web de la entidad del informe de Autoevaluación de la </w:t>
            </w:r>
            <w:proofErr w:type="gramStart"/>
            <w:r w:rsidRPr="00417DC0">
              <w:rPr>
                <w:rFonts w:ascii="Arial" w:hAnsi="Arial" w:cs="Arial"/>
                <w:sz w:val="16"/>
                <w:szCs w:val="16"/>
              </w:rPr>
              <w:t>gestión ,</w:t>
            </w:r>
            <w:proofErr w:type="gramEnd"/>
            <w:r w:rsidRPr="00417DC0">
              <w:rPr>
                <w:rFonts w:ascii="Arial" w:hAnsi="Arial" w:cs="Arial"/>
                <w:sz w:val="16"/>
                <w:szCs w:val="16"/>
              </w:rPr>
              <w:t xml:space="preserve"> así como la de todos los elementos que integran el Plan de Acción de la SDA.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093/2015</w:t>
            </w:r>
            <w:r w:rsidRPr="00417DC0">
              <w:rPr>
                <w:rFonts w:ascii="Arial" w:hAnsi="Arial" w:cs="Arial"/>
                <w:sz w:val="16"/>
                <w:szCs w:val="16"/>
              </w:rPr>
              <w:br/>
              <w:t>373/2015</w:t>
            </w:r>
            <w:r w:rsidRPr="00417DC0">
              <w:rPr>
                <w:rFonts w:ascii="Arial" w:hAnsi="Arial" w:cs="Arial"/>
                <w:sz w:val="16"/>
                <w:szCs w:val="16"/>
              </w:rPr>
              <w:br/>
              <w:t>420/2015</w:t>
            </w:r>
            <w:r w:rsidRPr="00417DC0">
              <w:rPr>
                <w:rFonts w:ascii="Arial" w:hAnsi="Arial" w:cs="Arial"/>
                <w:sz w:val="16"/>
                <w:szCs w:val="16"/>
              </w:rPr>
              <w:br/>
              <w:t>458/2015</w:t>
            </w:r>
            <w:r w:rsidRPr="00417DC0">
              <w:rPr>
                <w:rFonts w:ascii="Arial" w:hAnsi="Arial" w:cs="Arial"/>
                <w:sz w:val="16"/>
                <w:szCs w:val="16"/>
              </w:rPr>
              <w:br/>
              <w:t>461/2015</w:t>
            </w:r>
            <w:r w:rsidRPr="00417DC0">
              <w:rPr>
                <w:rFonts w:ascii="Arial" w:hAnsi="Arial" w:cs="Arial"/>
                <w:sz w:val="16"/>
                <w:szCs w:val="16"/>
              </w:rPr>
              <w:br/>
              <w:t xml:space="preserve">802/2015 </w:t>
            </w:r>
            <w:r w:rsidRPr="00417DC0">
              <w:rPr>
                <w:rFonts w:ascii="Arial" w:hAnsi="Arial" w:cs="Arial"/>
                <w:sz w:val="16"/>
                <w:szCs w:val="16"/>
              </w:rPr>
              <w:br/>
              <w:t>1004/2015</w:t>
            </w:r>
            <w:r w:rsidRPr="00417DC0">
              <w:rPr>
                <w:rFonts w:ascii="Arial" w:hAnsi="Arial" w:cs="Arial"/>
                <w:sz w:val="16"/>
                <w:szCs w:val="16"/>
              </w:rPr>
              <w:br/>
              <w:t xml:space="preserve"> 467/2015 </w:t>
            </w:r>
            <w:r w:rsidRPr="00417DC0">
              <w:rPr>
                <w:rFonts w:ascii="Arial" w:hAnsi="Arial" w:cs="Arial"/>
                <w:sz w:val="16"/>
                <w:szCs w:val="16"/>
              </w:rPr>
              <w:br/>
              <w:t>152/2015</w:t>
            </w:r>
            <w:r w:rsidRPr="00417DC0">
              <w:rPr>
                <w:rFonts w:ascii="Arial" w:hAnsi="Arial" w:cs="Arial"/>
                <w:sz w:val="16"/>
                <w:szCs w:val="16"/>
              </w:rPr>
              <w:br/>
              <w:t xml:space="preserve"> 451/2015</w:t>
            </w:r>
            <w:r w:rsidRPr="00417DC0">
              <w:rPr>
                <w:rFonts w:ascii="Arial" w:hAnsi="Arial" w:cs="Arial"/>
                <w:sz w:val="16"/>
                <w:szCs w:val="16"/>
              </w:rPr>
              <w:br/>
              <w:t xml:space="preserve"> 480/2015</w:t>
            </w:r>
            <w:r w:rsidRPr="00417DC0">
              <w:rPr>
                <w:rFonts w:ascii="Arial" w:hAnsi="Arial" w:cs="Arial"/>
                <w:sz w:val="16"/>
                <w:szCs w:val="16"/>
              </w:rPr>
              <w:br/>
              <w:t xml:space="preserve"> 305/2015</w:t>
            </w:r>
            <w:r w:rsidRPr="00417DC0">
              <w:rPr>
                <w:rFonts w:ascii="Arial" w:hAnsi="Arial" w:cs="Arial"/>
                <w:sz w:val="16"/>
                <w:szCs w:val="16"/>
              </w:rPr>
              <w:br/>
              <w:t xml:space="preserve"> 392/2015</w:t>
            </w:r>
            <w:r w:rsidRPr="00417DC0">
              <w:rPr>
                <w:rFonts w:ascii="Arial" w:hAnsi="Arial" w:cs="Arial"/>
                <w:sz w:val="16"/>
                <w:szCs w:val="16"/>
              </w:rPr>
              <w:br/>
              <w:t xml:space="preserve"> 470/2015 </w:t>
            </w:r>
            <w:r w:rsidRPr="00417DC0">
              <w:rPr>
                <w:rFonts w:ascii="Arial" w:hAnsi="Arial" w:cs="Arial"/>
                <w:sz w:val="16"/>
                <w:szCs w:val="16"/>
              </w:rPr>
              <w:br/>
              <w:t xml:space="preserve">425/2015 </w:t>
            </w:r>
            <w:r w:rsidRPr="00417DC0">
              <w:rPr>
                <w:rFonts w:ascii="Arial" w:hAnsi="Arial" w:cs="Arial"/>
                <w:sz w:val="16"/>
                <w:szCs w:val="16"/>
              </w:rPr>
              <w:br/>
              <w:t>809/2015</w:t>
            </w:r>
            <w:r w:rsidRPr="00417DC0">
              <w:rPr>
                <w:rFonts w:ascii="Arial" w:hAnsi="Arial" w:cs="Arial"/>
                <w:sz w:val="16"/>
                <w:szCs w:val="16"/>
              </w:rPr>
              <w:br/>
              <w:t xml:space="preserve"> 289/2015 </w:t>
            </w:r>
            <w:r w:rsidRPr="00417DC0">
              <w:rPr>
                <w:rFonts w:ascii="Arial" w:hAnsi="Arial" w:cs="Arial"/>
                <w:sz w:val="16"/>
                <w:szCs w:val="16"/>
              </w:rPr>
              <w:br/>
              <w:t>932/2015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representa un eje estratégico de la gestión intitucional ya que es la base de la garantia en la operatividad misional y de apoyo para producir y entregar a la comunidad acciones concretas en el territorio. Esto se logra atraves de una entidad integral y con una institucionalidad fortalecida</w:t>
            </w:r>
          </w:p>
        </w:tc>
      </w:tr>
      <w:tr w:rsidR="00417DC0" w:rsidRPr="00417DC0" w:rsidTr="00417DC0">
        <w:trPr>
          <w:trHeight w:val="348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Participar y apoyar mínimo u proyecto que garantice la generación, creación e intercambio de conocimiento en materia ambiental.</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consolidaron las correlatorias producto de los encuentros de la Cumbre de las Américas, y posteriormente, fueron enviadas a los participantes de la misma.Se realizó l gestión y seguimiento al concepto de no objeción por parte del DNP a la APC Colombia para la financiación del proyecto de gestión de residuos sólidos, se realizaron las gestiones para que la SDA estuviera presente en la COP21</w:t>
            </w:r>
            <w:r w:rsidRPr="00417DC0">
              <w:rPr>
                <w:rFonts w:ascii="Arial" w:hAnsi="Arial" w:cs="Arial"/>
                <w:sz w:val="16"/>
                <w:szCs w:val="16"/>
              </w:rPr>
              <w:br/>
              <w:t xml:space="preserve">Se realizo el evento de la mesa de sostenibilidad en el marco de bogota 2025 sobre la gestión de residuos con enfoque en el relleno doña Juana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1327/2015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permite que la institución integre eventualmente y de acuerdo a las propuestas alternativas sociales o que beneficien a la sociedad, alternativas intitucionales que fortalezcan la imagen e integren aspectos ecoambientales en coherencia con la misionalidad.</w:t>
            </w:r>
          </w:p>
        </w:tc>
      </w:tr>
      <w:tr w:rsidR="00417DC0" w:rsidRPr="00417DC0" w:rsidTr="00417DC0">
        <w:trPr>
          <w:trHeight w:val="4035"/>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Gestionar los procesos de cooperación internacional con énfasis en los temas de formulación de proyectos y alianzas que requiera la secretaria distrital de ambiente</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Premio Latinoamericano Verde: Se postulo a la SDA con el Proyecto Yo me Muevo por Bogotá. </w:t>
            </w:r>
            <w:r w:rsidRPr="00417DC0">
              <w:rPr>
                <w:rFonts w:ascii="Arial" w:hAnsi="Arial" w:cs="Arial"/>
                <w:sz w:val="16"/>
                <w:szCs w:val="16"/>
              </w:rPr>
              <w:br/>
              <w:t>Encuentro de las Américas frente al Cambio Climático: Apoye en la gestión, organización y desarrollo de los eventos: Agua y Ciudades, Movilidad Sostenible  y Suelos Contaminados y en relacionamiento con los participantes y logística del evento.</w:t>
            </w:r>
            <w:r w:rsidRPr="00417DC0">
              <w:rPr>
                <w:rFonts w:ascii="Arial" w:hAnsi="Arial" w:cs="Arial"/>
                <w:sz w:val="16"/>
                <w:szCs w:val="16"/>
              </w:rPr>
              <w:br/>
              <w:t>Gestión Internacionalización día sin Carro – REDCISUR</w:t>
            </w:r>
            <w:r w:rsidRPr="00417DC0">
              <w:rPr>
                <w:rFonts w:ascii="Arial" w:hAnsi="Arial" w:cs="Arial"/>
                <w:sz w:val="16"/>
                <w:szCs w:val="16"/>
              </w:rPr>
              <w:br/>
              <w:t xml:space="preserve">Redcisur trabaja en la gestión internacional de la medida con el acompañamiento de la SPCI, se espera que la medida sea lanzada durante el Bogotá Climate Summit, la cual seria la primera jornada regional en el mundo sin carro. </w:t>
            </w:r>
            <w:r w:rsidRPr="00417DC0">
              <w:rPr>
                <w:rFonts w:ascii="Arial" w:hAnsi="Arial" w:cs="Arial"/>
                <w:sz w:val="16"/>
                <w:szCs w:val="16"/>
              </w:rPr>
              <w:br/>
              <w:t>Proyecto Yo me muevo por Bogotá, con la Agencia Presidencial de Cooperación Internacional APC y la ciudad de Shenzhen, actualmente APC nos dará alrededor de 10 mil dolares para llevar a cabo unas actividades del proyecto y traer expertos. Es importante continuar ya que esta en marcha.</w:t>
            </w:r>
            <w:r w:rsidRPr="00417DC0">
              <w:rPr>
                <w:rFonts w:ascii="Arial" w:hAnsi="Arial" w:cs="Arial"/>
                <w:sz w:val="16"/>
                <w:szCs w:val="16"/>
              </w:rPr>
              <w:br/>
            </w:r>
            <w:r w:rsidRPr="00417DC0">
              <w:rPr>
                <w:rFonts w:ascii="Arial" w:hAnsi="Arial" w:cs="Arial"/>
                <w:sz w:val="16"/>
                <w:szCs w:val="16"/>
              </w:rPr>
              <w:br/>
              <w:t>Alianza Agua y Ciudades y Convenio con Metrópolis: esta alianza ya esta en marcha la SPCI la apoya en el cronograma de actividades y en la parte de análisis del acuerdo con Metrópolis.</w:t>
            </w:r>
            <w:r w:rsidRPr="00417DC0">
              <w:rPr>
                <w:rFonts w:ascii="Arial" w:hAnsi="Arial" w:cs="Arial"/>
                <w:sz w:val="16"/>
                <w:szCs w:val="16"/>
              </w:rPr>
              <w:br/>
            </w:r>
            <w:r w:rsidRPr="00417DC0">
              <w:rPr>
                <w:rFonts w:ascii="Arial" w:hAnsi="Arial" w:cs="Arial"/>
                <w:sz w:val="16"/>
                <w:szCs w:val="16"/>
              </w:rPr>
              <w:br/>
              <w:t xml:space="preserve">Proyecto ICLEI-UNEP: Este proyecto esta a portas de presentarse a FONDIGER y es una de las </w:t>
            </w:r>
            <w:r w:rsidRPr="00417DC0">
              <w:rPr>
                <w:rFonts w:ascii="Arial" w:hAnsi="Arial" w:cs="Arial"/>
                <w:sz w:val="16"/>
                <w:szCs w:val="16"/>
              </w:rPr>
              <w:lastRenderedPageBreak/>
              <w:t>prioridades la Secretaria.</w:t>
            </w:r>
            <w:r w:rsidRPr="00417DC0">
              <w:rPr>
                <w:rFonts w:ascii="Arial" w:hAnsi="Arial" w:cs="Arial"/>
                <w:sz w:val="16"/>
                <w:szCs w:val="16"/>
              </w:rPr>
              <w:br/>
            </w:r>
            <w:r w:rsidRPr="00417DC0">
              <w:rPr>
                <w:rFonts w:ascii="Arial" w:hAnsi="Arial" w:cs="Arial"/>
                <w:sz w:val="16"/>
                <w:szCs w:val="16"/>
              </w:rPr>
              <w:br/>
              <w:t>Convenio SDA- CUSO Internacional: Esta Alianza pretende fortalecer las capacidades institucionales de la entidad a través de voluntarios canadienses y americanos, estamos en proceso de firma del MOU.</w:t>
            </w:r>
            <w:r w:rsidRPr="00417DC0">
              <w:rPr>
                <w:rFonts w:ascii="Arial" w:hAnsi="Arial" w:cs="Arial"/>
                <w:sz w:val="16"/>
                <w:szCs w:val="16"/>
              </w:rPr>
              <w:br/>
            </w:r>
            <w:r w:rsidRPr="00417DC0">
              <w:rPr>
                <w:rFonts w:ascii="Arial" w:hAnsi="Arial" w:cs="Arial"/>
                <w:sz w:val="16"/>
                <w:szCs w:val="16"/>
              </w:rPr>
              <w:br/>
              <w:t>Convenio SDA- JICA: Actualmente contamos con una voluntaria que estará apoyando a la SDA en temas de educación durante dos años.</w:t>
            </w:r>
            <w:r w:rsidRPr="00417DC0">
              <w:rPr>
                <w:rFonts w:ascii="Arial" w:hAnsi="Arial" w:cs="Arial"/>
                <w:sz w:val="16"/>
                <w:szCs w:val="16"/>
              </w:rPr>
              <w:br/>
            </w:r>
            <w:r w:rsidRPr="00417DC0">
              <w:rPr>
                <w:rFonts w:ascii="Arial" w:hAnsi="Arial" w:cs="Arial"/>
                <w:sz w:val="16"/>
                <w:szCs w:val="16"/>
              </w:rPr>
              <w:br/>
              <w:t>Bicicletas Electricas en la SDA: De acuerdo al proyecto de acuerdo 188 de 2011 el cual consagra en su objeto “instar al Gobierno Distrital, para que reglamente el uso de las bicicletas eléctricas en la red de ciclorutas de la ciudad de Bogotá”, la adquisición de tal bien en la SDA es estratégica pues además de generar beneficios ambientales (reducción de contaminantes ambientales producidos por los combustibles fósiles, reducción de contaminación sonora), contribuye con el ahorro de tiempo y dinero; además, se fortalecerá la cultura de la bicicleta, que es un patrón identitario de la ciudad como ícono mundial en ese transporte alternativo, reflejado en su red de ciclorutas, jornada del Día Sin Carro, Ciclovía dominical y ciclovía nocturna</w:t>
            </w:r>
            <w:r w:rsidRPr="00417DC0">
              <w:rPr>
                <w:rFonts w:ascii="Arial" w:hAnsi="Arial" w:cs="Arial"/>
                <w:sz w:val="16"/>
                <w:szCs w:val="16"/>
              </w:rPr>
              <w:br/>
            </w:r>
            <w:r w:rsidRPr="00417DC0">
              <w:rPr>
                <w:rFonts w:ascii="Arial" w:hAnsi="Arial" w:cs="Arial"/>
                <w:sz w:val="16"/>
                <w:szCs w:val="16"/>
              </w:rPr>
              <w:br/>
            </w:r>
            <w:r w:rsidRPr="00417DC0">
              <w:rPr>
                <w:rFonts w:ascii="Arial" w:hAnsi="Arial" w:cs="Arial"/>
                <w:sz w:val="16"/>
                <w:szCs w:val="16"/>
              </w:rPr>
              <w:lastRenderedPageBreak/>
              <w:t>UNESCO – PHI LAC</w:t>
            </w:r>
            <w:r w:rsidRPr="00417DC0">
              <w:rPr>
                <w:rFonts w:ascii="Arial" w:hAnsi="Arial" w:cs="Arial"/>
                <w:sz w:val="16"/>
                <w:szCs w:val="16"/>
              </w:rPr>
              <w:br/>
              <w:t xml:space="preserve">Estamos a la espera de documentos por parte de FUNDARCULTURA para dar trámite al Memorando de Entendimiento ante el despacho de la Secretaria. </w:t>
            </w:r>
            <w:proofErr w:type="gramStart"/>
            <w:r w:rsidRPr="00417DC0">
              <w:rPr>
                <w:rFonts w:ascii="Arial" w:hAnsi="Arial" w:cs="Arial"/>
                <w:sz w:val="16"/>
                <w:szCs w:val="16"/>
              </w:rPr>
              <w:t>por</w:t>
            </w:r>
            <w:proofErr w:type="gramEnd"/>
            <w:r w:rsidRPr="00417DC0">
              <w:rPr>
                <w:rFonts w:ascii="Arial" w:hAnsi="Arial" w:cs="Arial"/>
                <w:sz w:val="16"/>
                <w:szCs w:val="16"/>
              </w:rPr>
              <w:t xml:space="preserve"> medio del cual se integra la estrategia ambiental del distrito con la oficina de UNESCO en representación de Ecuador, Peru, Colombia y Venezuela en torno a los saberes ancestrales.</w:t>
            </w:r>
            <w:r w:rsidRPr="00417DC0">
              <w:rPr>
                <w:rFonts w:ascii="Arial" w:hAnsi="Arial" w:cs="Arial"/>
                <w:sz w:val="16"/>
                <w:szCs w:val="16"/>
              </w:rPr>
              <w:br/>
            </w:r>
            <w:r w:rsidRPr="00417DC0">
              <w:rPr>
                <w:rFonts w:ascii="Arial" w:hAnsi="Arial" w:cs="Arial"/>
                <w:sz w:val="16"/>
                <w:szCs w:val="16"/>
              </w:rPr>
              <w:br/>
              <w:t xml:space="preserve">Consecución de recursos para el Centro de Recepción y Rehabilitación de Fauna y Flora Silvestre: Para dar cumplimiento a la meta plan de desarrollo, se realiza una gestión dirigida a entes de cooperación de la mano con la Dirección Distrital de Relaciones Internacionales, para conseguir los recursos que permitan materializar la construcción del Centro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391/2015 </w:t>
            </w:r>
            <w:r w:rsidRPr="00417DC0">
              <w:rPr>
                <w:rFonts w:ascii="Arial" w:hAnsi="Arial" w:cs="Arial"/>
                <w:sz w:val="16"/>
                <w:szCs w:val="16"/>
              </w:rPr>
              <w:br/>
              <w:t>481/2015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considera e incluye el segmento internacional y fortalece la institucionalidad e imagen de la SDA permitiendo los vinculos y acciones conjuntas con personas, grupos, instituciones, gobiernos que esten interezados en aunar esfuerzos, voluntades y/ol intensiones para crear, investigar, implemntar y/o solucionar algna situación local con la experticia y/o conocimiento ya aplicado.</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Adelantar una intervención sistémica en los equipos de trabajo seleccionados para incentivar la mayor productividad en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Basados en los resultados del diagnóstico participativo sistémico que se realizó en los dos últimos meses de 2014 en cada una de las áreas de la entidad, se propuso una estrategia de intervención, y dentro de sus acciones inmediatas se estableció llevar a cabo nueve talleres cuyo fin apunto a alinear con el propósito organizacional y sus resultados la gestión y dinámica de los diferentes equipos de trabajo. El primero  se desarrolló en el mes de  febrero dirigido a los directivos: “ANÁLISIS SISTÉMICO DE LAS DIFICULTADES”, posteriormente en los meses de julio y agosto se adelantaron los ocho talleres restantes: “INTERVENCIÓN SISTÉMICA DE LOS EQUIPOS DE TRABAJO PARA INCENTIVAR LA MAYOR PRODUCTIVIDAD EN LA SDA” con las áreas que por su impacto en la entidad y sus resultados  se consideraron de mayor prioridad: Dirección de Control Ambiental, y sus cuatro subdirecciones, Dirección de Gestión Ambiental y sus dos subdirecciones, Dirección de Gestión Corporativa y sus dos Subdirecciones, Dirección Legal Ambiental y Subsecretaria General. Para estos talleres se incluyó personal con procesos o grupos de trabajo a su cargo.</w:t>
            </w:r>
            <w:r w:rsidRPr="00417DC0">
              <w:rPr>
                <w:rFonts w:ascii="Arial" w:hAnsi="Arial" w:cs="Arial"/>
                <w:sz w:val="16"/>
                <w:szCs w:val="16"/>
              </w:rPr>
              <w:br/>
              <w:t xml:space="preserve">El objetivo estuvo encaminado a focalizar y alinear a todos los equipos, a conocer fortalezas y áreas de mejora y a construir un plan de acción, que de realizarse, significa un avance en el proceso de mejoramiento de sus equipos de trabajo, y al mismo tiempo representan una contribución al mejoramiento institucional. La metodología utilizada fue sistémica y como herramienta de conclusión la constelación organizacional. </w:t>
            </w:r>
            <w:r w:rsidRPr="00417DC0">
              <w:rPr>
                <w:rFonts w:ascii="Arial" w:hAnsi="Arial" w:cs="Arial"/>
                <w:sz w:val="16"/>
                <w:szCs w:val="16"/>
              </w:rPr>
              <w:br/>
              <w:t xml:space="preserve">Los talleres permitieron la integración de las dependencias, el diálogo, la escucha activa, generación de confianza, el intercambio y el conocimiento mutuo. </w:t>
            </w:r>
            <w:r w:rsidRPr="00417DC0">
              <w:rPr>
                <w:rFonts w:ascii="Arial" w:hAnsi="Arial" w:cs="Arial"/>
                <w:sz w:val="16"/>
                <w:szCs w:val="16"/>
              </w:rPr>
              <w:br/>
              <w:t>En la memoria de cada taller reposan los productos, plan de mejoramiento y recomendaciones útiles para cada equipo en particular.</w:t>
            </w:r>
            <w:r w:rsidRPr="00417DC0">
              <w:rPr>
                <w:rFonts w:ascii="Arial" w:hAnsi="Arial" w:cs="Arial"/>
                <w:sz w:val="16"/>
                <w:szCs w:val="16"/>
              </w:rPr>
              <w:br/>
              <w:t xml:space="preserve">Para la ejecución de los talleres se realizó el </w:t>
            </w:r>
            <w:r w:rsidRPr="00417DC0">
              <w:rPr>
                <w:rFonts w:ascii="Arial" w:hAnsi="Arial" w:cs="Arial"/>
                <w:sz w:val="16"/>
                <w:szCs w:val="16"/>
              </w:rPr>
              <w:lastRenderedPageBreak/>
              <w:t>ejercicio de planeación y diseño de la actividad, que incluyó la definición de los contenidos, didáctica, ejercicios y recursos para la puesta en marcha de los talleres.</w:t>
            </w:r>
            <w:r w:rsidRPr="00417DC0">
              <w:rPr>
                <w:rFonts w:ascii="Arial" w:hAnsi="Arial" w:cs="Arial"/>
                <w:sz w:val="16"/>
                <w:szCs w:val="16"/>
              </w:rPr>
              <w:br/>
              <w:t>El taller fue denominado FORTALECIMIENTO Y ALINEACIÓN DEL EQUIPO HACIA EL PROPÓSITO ORGANIZACIONAL, para su desarrollo se planteó un plan de acción el cual consta en el informe de ejecución del contrato 1269 del 2015</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1269/2015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Corresponde con la actividad que se resume en la responsabilidad institucional que se ve fortalecida al fortalecer el recurso humano, equpos de trabajo, personas cercanas a la institucion y equpo directivo. Actores que hacen una sola institucion. </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Adopción del mapa y plan de manejo de riesgos vigencia 2015</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realizó la revisión y consolidación del mapa de riesgos para la vigencia 2015 y del DOFA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282/2015</w:t>
            </w:r>
            <w:r w:rsidRPr="00417DC0">
              <w:rPr>
                <w:rFonts w:ascii="Arial" w:hAnsi="Arial" w:cs="Arial"/>
                <w:sz w:val="16"/>
                <w:szCs w:val="16"/>
              </w:rPr>
              <w:br/>
              <w:t xml:space="preserve"> 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1238/2015</w:t>
            </w:r>
            <w:r w:rsidRPr="00417DC0">
              <w:rPr>
                <w:rFonts w:ascii="Arial" w:hAnsi="Arial" w:cs="Arial"/>
                <w:sz w:val="16"/>
                <w:szCs w:val="16"/>
              </w:rPr>
              <w:br/>
              <w:t xml:space="preserve"> 1530/2015 </w:t>
            </w:r>
            <w:r w:rsidRPr="00417DC0">
              <w:rPr>
                <w:rFonts w:ascii="Arial" w:hAnsi="Arial" w:cs="Arial"/>
                <w:sz w:val="16"/>
                <w:szCs w:val="16"/>
              </w:rPr>
              <w:br/>
              <w:t>1253/2015</w:t>
            </w:r>
            <w:r w:rsidRPr="00417DC0">
              <w:rPr>
                <w:rFonts w:ascii="Arial" w:hAnsi="Arial" w:cs="Arial"/>
                <w:sz w:val="16"/>
                <w:szCs w:val="16"/>
              </w:rPr>
              <w:br/>
              <w:t xml:space="preserve"> 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Elaboración del diagnótico de necesidades de capacitación</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Mediante reunión del equipo operativo del SIG se realizó el diagnóstico de necesidades de capacitación del SIG para la vigencia 2015, encontrando que se debe reforzar los temas generales del SIG y enfocar los esfuerzos  en la formulación de estrategias por procesos que apoyen el mejoramiento contínuo del sistema.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2955"/>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la actualización del normograma de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El normograma de la entidad ha sido revisado y actualizado de acuerdo a  los cambios normativos identificados, el mismo esta en constante revisión atendiendo el cronograma formulado en el plan de mejoramiento dando alcance a la auditoria interna al normograma. Asi mismo se realizó la actualización del procedimiento de control de documentos externos para garantizar el manejo adecuado de la normatividad en la SDA.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282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Revision por la dirección</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realizaron las dos jornadas de la revisión por la dirección atendiendo lo estblecido en el respectivo procedimiento y dando alcance a los requisitos de las normas técnicas del SIG de la SDA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27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Hacer seguimiento de la implementación del MECI:20114</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realizó el seguimiento a la implementación del MECI:2014 con la OCI y se envió mediante memorando interno a los procesos de la SDA la relacion de la información a reportar y la frecuencia de envío para garantizar su mantenimiento, asi mismo se les solicitó mediante correo electronico la informacion a actualizar la cual se cargó en el aplicativo ISOLUCION</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Seguimiento al cumplimiento de los planes de mejoramiento y plan de manejo de riesgos</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realizó el seguimiento al plan de mejoramiento y plan de manejo de riesgos  con la OCI y se reportó la información en la revisión por la dirección, asi mismo se revisó y actualizó el mapa de riesgos de la entidad el cual fue aprobado por los procesos para la vigencia 2016.</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Preparación y atención de auditorías de entes externos </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atendieron las visitas de seguimiento a la certificación del sistema de gestión de la ambiental y al sistema de gestión de la calidad por parte de Bureau Veritas en las cules se encontró que se encuentran implementados y mantenidos.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sensibilización de todos los procedimientos</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ha realizado la socialización de los procedimientos actualizados a la fecha por parte de los responsables de los procesos involucrados.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Ajuste de la plataforma estrategica a la norma NTD y demas norma a incorporar al SIG de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realizó ajuste a la plataforma estratégica de acuerdo a lo establecido en la NTD-SIG 001:2011  incorporado lo establecido en el nuevo subsistemas del SIG, de seguridad y salud en el trabajo y de gestión de la seguridad de la información.</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Ajuste de documentacion del SIG de la SDA con el fin que se apliquen los lineamientos entregados por la Secretaría General frente a la implementacion de la norma NTD</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han recibido  los lineamientos de la NTD SIG 001:2011  y se han incorporado en la documentación del SIG de la SDA cuando ha sido pertinente.</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Actualizar y modificar las caracterizaciones de los procesos, cuando se requiera.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adelantó la revisión y actualización de la caracterización de los dos procesos que lidera la OPEL debido a que se unifican en el proceso de participación y educación ambiental , se actualizaron las caracterizaciones de los procesos por correccion en las que se actualizaron los link de los procedimientos vigentes vinculados a cada una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396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Actualización de los procedimientos y demas documentos en el aplicativo ISOlucion </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actualizaron cuarenta y seis (46) procedimientos junto a sus anexos, normatividad, definiciones y responsables, de acuerdo con las solicitudes  realizadas por los dueños de proceso y como medidas de mejora del sistema, permitiendo de esta manera simplificar los trámites y dar cumplimiento a la normatividad legal vigente.</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proofErr w:type="gramStart"/>
            <w:r w:rsidRPr="00417DC0">
              <w:rPr>
                <w:rFonts w:ascii="Arial" w:hAnsi="Arial" w:cs="Arial"/>
                <w:sz w:val="16"/>
                <w:szCs w:val="16"/>
              </w:rPr>
              <w:t>la</w:t>
            </w:r>
            <w:proofErr w:type="gramEnd"/>
            <w:r w:rsidRPr="00417DC0">
              <w:rPr>
                <w:rFonts w:ascii="Arial" w:hAnsi="Arial" w:cs="Arial"/>
                <w:sz w:val="16"/>
                <w:szCs w:val="16"/>
              </w:rPr>
              <w:t xml:space="preserve"> implementación del Sistema Integrado de gestión y cada actividad asociada es una meta estratégica que permite a la entidad una herramienta tangible de su compromiso con la sociedad frente a la necesidad de reaizar acciones que garanticen el mejormiento continuo, las politicas institucionales y la proyección institucional.</w:t>
            </w:r>
          </w:p>
        </w:tc>
      </w:tr>
      <w:tr w:rsidR="00417DC0" w:rsidRPr="00417DC0" w:rsidTr="00417DC0">
        <w:trPr>
          <w:trHeight w:val="6375"/>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Ejecucion del Programa de uso eficiente del agua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Medición del agua captada por el Registro instalado en el sistema de recolección de agua lluvia de la entidad y elaboración de los respectivos informes los cuales se encuentran en el archivo de gestión del PIGA.</w:t>
            </w:r>
            <w:r w:rsidRPr="00417DC0">
              <w:rPr>
                <w:rFonts w:ascii="Arial" w:hAnsi="Arial" w:cs="Arial"/>
                <w:sz w:val="16"/>
                <w:szCs w:val="16"/>
              </w:rPr>
              <w:br/>
              <w:t>Se realizó el seguimiento y control a los consumos de agua potable en las sedes donde se cuenta con el control operacional. Los informes se encuentran el archivo de gestión del PIGA.</w:t>
            </w:r>
            <w:r w:rsidRPr="00417DC0">
              <w:rPr>
                <w:rFonts w:ascii="Arial" w:hAnsi="Arial" w:cs="Arial"/>
                <w:sz w:val="16"/>
                <w:szCs w:val="16"/>
              </w:rPr>
              <w:br/>
              <w:t>Se ejecutaron actividades establecidas en la estrategia de uso eficiente del agua, como envío de correos institucionales (Tips Ambientales). Verificación de consumos diarios de agua, en el formato establecido en el procedimiento.</w:t>
            </w:r>
            <w:r w:rsidRPr="00417DC0">
              <w:rPr>
                <w:rFonts w:ascii="Arial" w:hAnsi="Arial" w:cs="Arial"/>
                <w:sz w:val="16"/>
                <w:szCs w:val="16"/>
              </w:rPr>
              <w:br/>
              <w:t>Se consolido el inventario de sistemas ahorradores con los reportes enviados por los parques ambientales, el CRRFFS y la sede administrativa, contando con las características de los mismos.</w:t>
            </w:r>
            <w:r w:rsidRPr="00417DC0">
              <w:rPr>
                <w:rFonts w:ascii="Arial" w:hAnsi="Arial" w:cs="Arial"/>
                <w:sz w:val="16"/>
                <w:szCs w:val="16"/>
              </w:rPr>
              <w:br/>
              <w:t>Se celebró el contrato1393 de 2015 para "adquirir elementos y materiales para las reparaciones locativas de los bienes inmuebles..." por parte de la DGC, los materiales necesarios para esta actividad.</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r w:rsidRPr="00417DC0">
              <w:rPr>
                <w:rFonts w:ascii="Arial" w:hAnsi="Arial" w:cs="Arial"/>
                <w:sz w:val="16"/>
                <w:szCs w:val="16"/>
              </w:rPr>
              <w:br/>
              <w:t>1358/2015</w:t>
            </w:r>
            <w:r w:rsidRPr="00417DC0">
              <w:rPr>
                <w:rFonts w:ascii="Arial" w:hAnsi="Arial" w:cs="Arial"/>
                <w:sz w:val="16"/>
                <w:szCs w:val="16"/>
              </w:rPr>
              <w:br/>
              <w:t>1378/2015</w:t>
            </w:r>
            <w:r w:rsidRPr="00417DC0">
              <w:rPr>
                <w:rFonts w:ascii="Arial" w:hAnsi="Arial" w:cs="Arial"/>
                <w:sz w:val="16"/>
                <w:szCs w:val="16"/>
              </w:rPr>
              <w:br/>
              <w:t>1379/2015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Este es el instrumento de planeación que parte del análisis de la situación ambiental institucional, con el propósito de brindar información y argumentos necesarios para el planteamiento de acciones de gestión ambiental que garanticen primordialmente el cumplimiento de los objetivos de ecoeficiencia. Por lo anterior es una herramienta de corresponsabilidad y reflejará una institucion fortalecida.</w:t>
            </w:r>
          </w:p>
        </w:tc>
      </w:tr>
      <w:tr w:rsidR="00417DC0" w:rsidRPr="00417DC0" w:rsidTr="00417DC0">
        <w:trPr>
          <w:trHeight w:val="408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Ejecucion del Programa de uso eficiente del energia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instalaron luminarias LED en remplazo de las existentes en el primer piso de la entidad, se instalaran de manera paulatina hasta lograr el cambio de la mayoría de luminarias.</w:t>
            </w:r>
            <w:r w:rsidRPr="00417DC0">
              <w:rPr>
                <w:rFonts w:ascii="Arial" w:hAnsi="Arial" w:cs="Arial"/>
                <w:sz w:val="16"/>
                <w:szCs w:val="16"/>
              </w:rPr>
              <w:br/>
              <w:t>Se realiza de manera mensual la estrategia denominada “Día de la Escalera” con el fin de desmotivar el uso del ascensor, generando modificaciones en el hábito de consumo, obteniendo resultados importantes de reducción.</w:t>
            </w:r>
            <w:r w:rsidRPr="00417DC0">
              <w:rPr>
                <w:rFonts w:ascii="Arial" w:hAnsi="Arial" w:cs="Arial"/>
                <w:sz w:val="16"/>
                <w:szCs w:val="16"/>
              </w:rPr>
              <w:br/>
              <w:t xml:space="preserve">Se envían de manera frecuente Tips sobre el uso eficiente y ahorro de energía, también se publican en las pantallas virtuales. </w:t>
            </w:r>
            <w:r w:rsidRPr="00417DC0">
              <w:rPr>
                <w:rFonts w:ascii="Arial" w:hAnsi="Arial" w:cs="Arial"/>
                <w:sz w:val="16"/>
                <w:szCs w:val="16"/>
              </w:rPr>
              <w:br/>
              <w:t>Se dicto la charla sobre el Uso Eficiente y Ahorro de Energia por parte de CODENSA en el marco de la semana ambiental.</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Este es el instrumento de planeación que parte del análisis de la situación ambiental institucional, con el propósito de brindar información y argumentos necesarios para el planteamiento de acciones de gestión ambiental que garanticen primordialmente el cumplimiento de los objetivos de ecoeficiencia. Por lo anterior es una herramienta de corresponsabilidad y reflejará una institucion fortalecida.</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Ejecucion del Programa Manejo Integral de Residuos Solidos </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vienen realizando de manera mensual los informes de impresión a través del software adquirido para el control de impresiones, los cuales han sido enviados por correo institucional con el fin de concientizar del buen manejo para reducir el consumo de papel.</w:t>
            </w:r>
            <w:r w:rsidRPr="00417DC0">
              <w:rPr>
                <w:rFonts w:ascii="Arial" w:hAnsi="Arial" w:cs="Arial"/>
                <w:sz w:val="16"/>
                <w:szCs w:val="16"/>
              </w:rPr>
              <w:br/>
              <w:t>Se finalizó con la elaboración del video cero papeles el cual fue enviado por correo interno PIGA y publicado en las carteleras virtuales de la SDA.</w:t>
            </w:r>
            <w:r w:rsidRPr="00417DC0">
              <w:rPr>
                <w:rFonts w:ascii="Arial" w:hAnsi="Arial" w:cs="Arial"/>
                <w:sz w:val="16"/>
                <w:szCs w:val="16"/>
              </w:rPr>
              <w:br/>
              <w:t>Se realizaron actividades tendientes a concientizar sobre el buen uso del papel, se continuo con la recolección del papel reutilizable que los usuarios desechan el cual es aprovechado principalmente en el tercer piso. Se actualizó el documento del proyecto piloto cero papel. Soportes Archivo de gestión del PIGA.</w:t>
            </w:r>
            <w:r w:rsidRPr="00417DC0">
              <w:rPr>
                <w:rFonts w:ascii="Arial" w:hAnsi="Arial" w:cs="Arial"/>
                <w:sz w:val="16"/>
                <w:szCs w:val="16"/>
              </w:rPr>
              <w:br/>
              <w:t>Se cuenta con el Acuerdo de Corresponsabilidad No. 1121 de 2015 con la Cooperativa El Porvenir.</w:t>
            </w:r>
            <w:r w:rsidRPr="00417DC0">
              <w:rPr>
                <w:rFonts w:ascii="Arial" w:hAnsi="Arial" w:cs="Arial"/>
                <w:sz w:val="16"/>
                <w:szCs w:val="16"/>
              </w:rPr>
              <w:br/>
              <w:t>Se envió solicitud a comunicaciones para el diseño de una pieza comunicativa para ubicarla en los correos electrónicos donde se solicite la no impresión de los mismos, están realizando los ajustes solicitados esperamos para el mes de octubre contar con la pieza definitiva.</w:t>
            </w:r>
            <w:r w:rsidRPr="00417DC0">
              <w:rPr>
                <w:rFonts w:ascii="Arial" w:hAnsi="Arial" w:cs="Arial"/>
                <w:sz w:val="16"/>
                <w:szCs w:val="16"/>
              </w:rPr>
              <w:br/>
              <w:t xml:space="preserve">Se realizó la entrega para la adecuada disposición de los RESPEL generados como son:  RAEE´S y  luminarias dentro de la campaña Reciclaton de la SEGA,  envases de productos de aseo entregados al proveedor como devolución pos consumo, llantas, toners, medicamentos vencidos. </w:t>
            </w:r>
            <w:r w:rsidRPr="00417DC0">
              <w:rPr>
                <w:rFonts w:ascii="Arial" w:hAnsi="Arial" w:cs="Arial"/>
                <w:sz w:val="16"/>
                <w:szCs w:val="16"/>
              </w:rPr>
              <w:br/>
              <w:t>Capacitación atención al ciudadano, a personal nuevo vinculado, Se han realizado capacitaciones en cada una de las aulas ambientales tanto servidores como personal de aseo y vigilancia, relacionados con el PIGA, programas ambientales, Sistema Integrado de Gestión, ente otros.</w:t>
            </w:r>
            <w:r w:rsidRPr="00417DC0">
              <w:rPr>
                <w:rFonts w:ascii="Arial" w:hAnsi="Arial" w:cs="Arial"/>
                <w:sz w:val="16"/>
                <w:szCs w:val="16"/>
              </w:rPr>
              <w:br/>
              <w:t>Se realizó con apoyo de la Asociación el Porvenir, capacitación a todos los servidores de la SDA en el manejo de puntos ecológicos y taller para la reutilización de papel mediante la elaboración de portalápices.</w:t>
            </w:r>
            <w:r w:rsidRPr="00417DC0">
              <w:rPr>
                <w:rFonts w:ascii="Arial" w:hAnsi="Arial" w:cs="Arial"/>
                <w:sz w:val="16"/>
                <w:szCs w:val="16"/>
              </w:rPr>
              <w:br/>
              <w:t xml:space="preserve">Actividad finalizada ya que se dio cumplimiento </w:t>
            </w:r>
            <w:r w:rsidRPr="00417DC0">
              <w:rPr>
                <w:rFonts w:ascii="Arial" w:hAnsi="Arial" w:cs="Arial"/>
                <w:sz w:val="16"/>
                <w:szCs w:val="16"/>
              </w:rPr>
              <w:lastRenderedPageBreak/>
              <w:t>con el acondicionamiento para el almacenamiento temporal mediante la adecuación de contenedores exclusivo para Respel en el CRV.</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r w:rsidRPr="00417DC0">
              <w:rPr>
                <w:rFonts w:ascii="Arial" w:hAnsi="Arial" w:cs="Arial"/>
                <w:sz w:val="16"/>
                <w:szCs w:val="16"/>
              </w:rPr>
              <w:br/>
              <w:t>1393/2015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Este es el instrumento de planeación que parte del análisis de la situación ambiental institucional, con el propósito de brindar información y argumentos necesarios para el planteamiento de acciones de gestión ambiental que garanticen primordialmente el cumplimiento de los objetivos de ecoeficiencia. Por lo anterior es una herramienta de corresponsabilidad y reflejará una institucion fortalecida.</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Ejecucion del Programa Consumo sostenible</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remitieron conceptos para la inclusión en diferentes procesos contractuales la cláusula ambiental correspondiente contratos tales como: alquiler de vehículos, compra de toners, insumos, impermeabilización, fumigaciones, servicios de salud y  compra de equipos de cómputo.</w:t>
            </w:r>
            <w:r w:rsidRPr="00417DC0">
              <w:rPr>
                <w:rFonts w:ascii="Arial" w:hAnsi="Arial" w:cs="Arial"/>
                <w:sz w:val="16"/>
                <w:szCs w:val="16"/>
              </w:rPr>
              <w:br/>
              <w:t xml:space="preserve">Se envió por correo institucional y Memorando interno la solicitud de  Inclusión criterios de sostenibilidad en estudios previos, para la cual se les anexo la Guía de requisitos ambientales y la Guía de compras verdes. </w:t>
            </w:r>
            <w:r w:rsidRPr="00417DC0">
              <w:rPr>
                <w:rFonts w:ascii="Arial" w:hAnsi="Arial" w:cs="Arial"/>
                <w:sz w:val="16"/>
                <w:szCs w:val="16"/>
              </w:rPr>
              <w:br/>
              <w:t>Se revisaron veintiocho (28) contratos de compras en los cuales se evidencio que cuentan con cláusulas ambientales.</w:t>
            </w:r>
            <w:r w:rsidRPr="00417DC0">
              <w:rPr>
                <w:rFonts w:ascii="Arial" w:hAnsi="Arial" w:cs="Arial"/>
                <w:sz w:val="16"/>
                <w:szCs w:val="16"/>
              </w:rPr>
              <w:br/>
              <w:t xml:space="preserve">Se solicitó a la Coordinadora </w:t>
            </w:r>
            <w:proofErr w:type="gramStart"/>
            <w:r w:rsidRPr="00417DC0">
              <w:rPr>
                <w:rFonts w:ascii="Arial" w:hAnsi="Arial" w:cs="Arial"/>
                <w:sz w:val="16"/>
                <w:szCs w:val="16"/>
              </w:rPr>
              <w:t>del equipos</w:t>
            </w:r>
            <w:proofErr w:type="gramEnd"/>
            <w:r w:rsidRPr="00417DC0">
              <w:rPr>
                <w:rFonts w:ascii="Arial" w:hAnsi="Arial" w:cs="Arial"/>
                <w:sz w:val="16"/>
                <w:szCs w:val="16"/>
              </w:rPr>
              <w:t xml:space="preserve"> SIG para incluir este criterio en los procedimientos contractuales.</w:t>
            </w:r>
            <w:r w:rsidRPr="00417DC0">
              <w:rPr>
                <w:rFonts w:ascii="Arial" w:hAnsi="Arial" w:cs="Arial"/>
                <w:sz w:val="16"/>
                <w:szCs w:val="16"/>
              </w:rPr>
              <w:br/>
              <w:t xml:space="preserve">Se ha apoyado en la revisión y comentarios del proyecto del Programa Distrital de Compras Verdes para el Distrito Capital </w:t>
            </w:r>
            <w:r w:rsidRPr="00417DC0">
              <w:rPr>
                <w:rFonts w:ascii="Arial" w:hAnsi="Arial" w:cs="Arial"/>
                <w:sz w:val="16"/>
                <w:szCs w:val="16"/>
              </w:rPr>
              <w:br/>
              <w:t>Se enviaron tips ambientales para realizar buenas prácticas para el consumo responsable.</w:t>
            </w:r>
            <w:r w:rsidRPr="00417DC0">
              <w:rPr>
                <w:rFonts w:ascii="Arial" w:hAnsi="Arial" w:cs="Arial"/>
                <w:sz w:val="16"/>
                <w:szCs w:val="16"/>
              </w:rPr>
              <w:br/>
              <w:t>Se remitieron conceptos para la inclusión en diferentes procesos contractuales la cláusula ambiental correspondiente contratos tales como: compra servidores, compra de vehículos, jardines verticlaes  y compra de extintores.</w:t>
            </w:r>
            <w:r w:rsidRPr="00417DC0">
              <w:rPr>
                <w:rFonts w:ascii="Arial" w:hAnsi="Arial" w:cs="Arial"/>
                <w:sz w:val="16"/>
                <w:szCs w:val="16"/>
              </w:rPr>
              <w:br/>
              <w:t>Se realizo el 17 de junio la charla sobre COMPRAS SOSTENIBLES dictada por el Ministerio de Ambiente - Carolina Martinez,  con una asistencia de aproximadamente 32 personas delegadas de las diferentes dependencias.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r w:rsidRPr="00417DC0">
              <w:rPr>
                <w:rFonts w:ascii="Arial" w:hAnsi="Arial" w:cs="Arial"/>
                <w:sz w:val="16"/>
                <w:szCs w:val="16"/>
              </w:rPr>
              <w:br/>
              <w:t>1452/2015</w:t>
            </w:r>
            <w:r w:rsidRPr="00417DC0">
              <w:rPr>
                <w:rFonts w:ascii="Arial" w:hAnsi="Arial" w:cs="Arial"/>
                <w:sz w:val="16"/>
                <w:szCs w:val="16"/>
              </w:rPr>
              <w:br/>
              <w:t>1530/2014</w:t>
            </w:r>
            <w:r w:rsidRPr="00417DC0">
              <w:rPr>
                <w:rFonts w:ascii="Arial" w:hAnsi="Arial" w:cs="Arial"/>
                <w:sz w:val="16"/>
                <w:szCs w:val="16"/>
              </w:rPr>
              <w:br/>
              <w:t>3485/2015</w:t>
            </w:r>
            <w:r w:rsidRPr="00417DC0">
              <w:rPr>
                <w:rFonts w:ascii="Arial" w:hAnsi="Arial" w:cs="Arial"/>
                <w:sz w:val="16"/>
                <w:szCs w:val="16"/>
              </w:rPr>
              <w:br/>
              <w:t>3489/2015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Este es el instrumento de planeación que parte del análisis de la situación ambiental institucional, con el propósito de brindar información y argumentos necesarios para el planteamiento de acciones de gestión ambiental que garanticen primordialmente el cumplimiento de los objetivos de ecoeficiencia. Por lo anterior es una herramienta de corresponsabilidad y reflejará una institucion fortalecida.</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en el 100% de las entidades del distrito el Sistema Integrado de Gestión</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Ejecucion del programa Implementación de prácticas sostenibles</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vienen adelantando capacitaciones a los conductores de manera mensual (2 personas) por parte de la ARL - SURA, en temas relacionados con buenas prácticas en su desempeño laboral.</w:t>
            </w:r>
            <w:r w:rsidRPr="00417DC0">
              <w:rPr>
                <w:rFonts w:ascii="Arial" w:hAnsi="Arial" w:cs="Arial"/>
                <w:sz w:val="16"/>
                <w:szCs w:val="16"/>
              </w:rPr>
              <w:br/>
              <w:t>Se han enviado de manera constante evidencia de la participación de servidores en la campaña "Me muevo por una Bogotá Sostenible" por las carteleras virtuales y el correo institucional.</w:t>
            </w:r>
            <w:r w:rsidRPr="00417DC0">
              <w:rPr>
                <w:rFonts w:ascii="Arial" w:hAnsi="Arial" w:cs="Arial"/>
                <w:sz w:val="16"/>
                <w:szCs w:val="16"/>
              </w:rPr>
              <w:br/>
              <w:t>Se participó en la publicación de los resultados de "Me muevo por una Bogotá sostenible".</w:t>
            </w:r>
            <w:r w:rsidRPr="00417DC0">
              <w:rPr>
                <w:rFonts w:ascii="Arial" w:hAnsi="Arial" w:cs="Arial"/>
                <w:sz w:val="16"/>
                <w:szCs w:val="16"/>
              </w:rPr>
              <w:br/>
              <w:t>Se entregaron incentivos a los servidores que vienen de manera frecuente a la SDA en bicicleta.</w:t>
            </w:r>
            <w:r w:rsidRPr="00417DC0">
              <w:rPr>
                <w:rFonts w:ascii="Arial" w:hAnsi="Arial" w:cs="Arial"/>
                <w:sz w:val="16"/>
                <w:szCs w:val="16"/>
              </w:rPr>
              <w:br/>
              <w:t xml:space="preserve">Se realizó cotización para la instalación de </w:t>
            </w:r>
            <w:proofErr w:type="gramStart"/>
            <w:r w:rsidRPr="00417DC0">
              <w:rPr>
                <w:rFonts w:ascii="Arial" w:hAnsi="Arial" w:cs="Arial"/>
                <w:sz w:val="16"/>
                <w:szCs w:val="16"/>
              </w:rPr>
              <w:t>un</w:t>
            </w:r>
            <w:proofErr w:type="gramEnd"/>
            <w:r w:rsidRPr="00417DC0">
              <w:rPr>
                <w:rFonts w:ascii="Arial" w:hAnsi="Arial" w:cs="Arial"/>
                <w:sz w:val="16"/>
                <w:szCs w:val="16"/>
              </w:rPr>
              <w:t xml:space="preserve"> bici parqueadero adicional.</w:t>
            </w:r>
            <w:r w:rsidRPr="00417DC0">
              <w:rPr>
                <w:rFonts w:ascii="Arial" w:hAnsi="Arial" w:cs="Arial"/>
                <w:sz w:val="16"/>
                <w:szCs w:val="16"/>
              </w:rPr>
              <w:br/>
              <w:t>Con la instalación de luminarias en el piso tercero y primero se logró un mejor nivel de luminosidad.</w:t>
            </w:r>
            <w:r w:rsidRPr="00417DC0">
              <w:rPr>
                <w:rFonts w:ascii="Arial" w:hAnsi="Arial" w:cs="Arial"/>
                <w:sz w:val="16"/>
                <w:szCs w:val="16"/>
              </w:rPr>
              <w:br/>
              <w:t>Se celebró el contrato 1358 de 2015 para contratar el mantenimiento de los jardines y terrazas de la sede administrativa de la SDA, el cual se viene desarrollando de acuerdo a lo establecido en el contrato.</w:t>
            </w:r>
            <w:r w:rsidRPr="00417DC0">
              <w:rPr>
                <w:rFonts w:ascii="Arial" w:hAnsi="Arial" w:cs="Arial"/>
                <w:sz w:val="16"/>
                <w:szCs w:val="16"/>
              </w:rPr>
              <w:br/>
              <w:t>Se realizó inscripción de la SDA en el proyecto “Yo me muevo por Bogotá” con el fin de incentivar estrategias para el  uso de la bicicleta y demás medios alternativos para mejorar la movilidad y el ambiente.</w:t>
            </w:r>
            <w:r w:rsidRPr="00417DC0">
              <w:rPr>
                <w:rFonts w:ascii="Arial" w:hAnsi="Arial" w:cs="Arial"/>
                <w:sz w:val="16"/>
                <w:szCs w:val="16"/>
              </w:rPr>
              <w:br/>
              <w:t>Se realizó seguimiento a los techos verdes y jardines con el fin de verificar su ejecución, solicitando agilidad en su desarrollo.</w:t>
            </w:r>
            <w:r w:rsidRPr="00417DC0">
              <w:rPr>
                <w:rFonts w:ascii="Arial" w:hAnsi="Arial" w:cs="Arial"/>
                <w:sz w:val="16"/>
                <w:szCs w:val="16"/>
              </w:rPr>
              <w:br/>
              <w:t xml:space="preserve">Se realizó reunión para socializar el proyecto, se definieron estrategias para abordarlo y actualizar las cifras relacionadas con el consumo de combustible y optimización del mismo. </w:t>
            </w:r>
            <w:r w:rsidRPr="00417DC0">
              <w:rPr>
                <w:rFonts w:ascii="Arial" w:hAnsi="Arial" w:cs="Arial"/>
                <w:sz w:val="16"/>
                <w:szCs w:val="16"/>
              </w:rPr>
              <w:br/>
              <w:t>Se vienen adelantando capacitaciones a los conductores de manera mensual (2 personas) por parte de la ARL - SURA, en temas relacionados con buenas prácticas en su desempeño laboral.</w:t>
            </w:r>
            <w:r w:rsidRPr="00417DC0">
              <w:rPr>
                <w:rFonts w:ascii="Arial" w:hAnsi="Arial" w:cs="Arial"/>
                <w:sz w:val="16"/>
                <w:szCs w:val="16"/>
              </w:rPr>
              <w:br/>
              <w:t>Se tiene planteado la compra de vehículos nuevos dentro de los cuales se encuentran dos vehículos eléctricos, en los cuales se participó en la revisión de las cláusulas ambientales y justificación.</w:t>
            </w:r>
            <w:r w:rsidRPr="00417DC0">
              <w:rPr>
                <w:rFonts w:ascii="Arial" w:hAnsi="Arial" w:cs="Arial"/>
                <w:sz w:val="16"/>
                <w:szCs w:val="16"/>
              </w:rPr>
              <w:br/>
              <w:t xml:space="preserve">Se gestionó con el SENA la programación de capacitaciones en temas de MECÁNICA BÁSICA </w:t>
            </w:r>
            <w:r w:rsidRPr="00417DC0">
              <w:rPr>
                <w:rFonts w:ascii="Arial" w:hAnsi="Arial" w:cs="Arial"/>
                <w:sz w:val="16"/>
                <w:szCs w:val="16"/>
              </w:rPr>
              <w:lastRenderedPageBreak/>
              <w:t>AUTOMOTRIZ y/o MANTENIMIENTO AUTÓNOMO.</w:t>
            </w:r>
            <w:r w:rsidRPr="00417DC0">
              <w:rPr>
                <w:rFonts w:ascii="Arial" w:hAnsi="Arial" w:cs="Arial"/>
                <w:sz w:val="16"/>
                <w:szCs w:val="16"/>
              </w:rPr>
              <w:br/>
              <w:t>Se  desarrolló la campaña “Comparte tu huella” la cual invita a reflexionar sobre la actividad humana que mayor impacto ambiental genera en el mundo el transporte urbano, teniendo una gran acogida e interés por parte de los servidores de la SDA.</w:t>
            </w:r>
            <w:r w:rsidRPr="00417DC0">
              <w:rPr>
                <w:rFonts w:ascii="Arial" w:hAnsi="Arial" w:cs="Arial"/>
                <w:sz w:val="16"/>
                <w:szCs w:val="16"/>
              </w:rPr>
              <w:br/>
              <w:t>En desarrollo del proyecto “Me muevo por una Bogotá Sostenible”, se participó en la Premiación de la carrera explorando, con una participación de alrededor de 40 servidores quienes participaron activamente desde el Coliseo El Campin hasta la SDA, logrando superar la participación de  asistentes al evento.</w:t>
            </w:r>
            <w:r w:rsidRPr="00417DC0">
              <w:rPr>
                <w:rFonts w:ascii="Arial" w:hAnsi="Arial" w:cs="Arial"/>
                <w:sz w:val="16"/>
                <w:szCs w:val="16"/>
              </w:rPr>
              <w:br/>
              <w:t>Se asistió a la reunión de revisión del plan de acción del proyecto Me muevo por una Bogotá Sostenible" al cual se le realizarán los ajustes pertinentes.</w:t>
            </w:r>
            <w:r w:rsidRPr="00417DC0">
              <w:rPr>
                <w:rFonts w:ascii="Arial" w:hAnsi="Arial" w:cs="Arial"/>
                <w:sz w:val="16"/>
                <w:szCs w:val="16"/>
              </w:rPr>
              <w:br/>
              <w:t>Con la instalación de luminarias en el piso tercero como proyecto piloto se logró un mejor nivel de luminosidad  de acuerdo a concepto emitido por la ARL SURA.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282/2015 </w:t>
            </w:r>
            <w:r w:rsidRPr="00417DC0">
              <w:rPr>
                <w:rFonts w:ascii="Arial" w:hAnsi="Arial" w:cs="Arial"/>
                <w:sz w:val="16"/>
                <w:szCs w:val="16"/>
              </w:rPr>
              <w:br/>
              <w:t xml:space="preserve">402/2015 </w:t>
            </w:r>
            <w:r w:rsidRPr="00417DC0">
              <w:rPr>
                <w:rFonts w:ascii="Arial" w:hAnsi="Arial" w:cs="Arial"/>
                <w:sz w:val="16"/>
                <w:szCs w:val="16"/>
              </w:rPr>
              <w:br/>
              <w:t xml:space="preserve">177/2015 </w:t>
            </w:r>
            <w:r w:rsidRPr="00417DC0">
              <w:rPr>
                <w:rFonts w:ascii="Arial" w:hAnsi="Arial" w:cs="Arial"/>
                <w:sz w:val="16"/>
                <w:szCs w:val="16"/>
              </w:rPr>
              <w:br/>
              <w:t xml:space="preserve">735/2015 </w:t>
            </w:r>
            <w:r w:rsidRPr="00417DC0">
              <w:rPr>
                <w:rFonts w:ascii="Arial" w:hAnsi="Arial" w:cs="Arial"/>
                <w:sz w:val="16"/>
                <w:szCs w:val="16"/>
              </w:rPr>
              <w:br/>
              <w:t xml:space="preserve">483/2015 </w:t>
            </w:r>
            <w:r w:rsidRPr="00417DC0">
              <w:rPr>
                <w:rFonts w:ascii="Arial" w:hAnsi="Arial" w:cs="Arial"/>
                <w:sz w:val="16"/>
                <w:szCs w:val="16"/>
              </w:rPr>
              <w:br/>
              <w:t xml:space="preserve">245/2015 </w:t>
            </w:r>
            <w:r w:rsidRPr="00417DC0">
              <w:rPr>
                <w:rFonts w:ascii="Arial" w:hAnsi="Arial" w:cs="Arial"/>
                <w:sz w:val="16"/>
                <w:szCs w:val="16"/>
              </w:rPr>
              <w:br/>
              <w:t xml:space="preserve">883/2015 </w:t>
            </w:r>
            <w:r w:rsidRPr="00417DC0">
              <w:rPr>
                <w:rFonts w:ascii="Arial" w:hAnsi="Arial" w:cs="Arial"/>
                <w:sz w:val="16"/>
                <w:szCs w:val="16"/>
              </w:rPr>
              <w:br/>
              <w:t xml:space="preserve">1238/2015 </w:t>
            </w:r>
            <w:r w:rsidRPr="00417DC0">
              <w:rPr>
                <w:rFonts w:ascii="Arial" w:hAnsi="Arial" w:cs="Arial"/>
                <w:sz w:val="16"/>
                <w:szCs w:val="16"/>
              </w:rPr>
              <w:br/>
              <w:t xml:space="preserve">1530/2015 </w:t>
            </w:r>
            <w:r w:rsidRPr="00417DC0">
              <w:rPr>
                <w:rFonts w:ascii="Arial" w:hAnsi="Arial" w:cs="Arial"/>
                <w:sz w:val="16"/>
                <w:szCs w:val="16"/>
              </w:rPr>
              <w:br/>
              <w:t xml:space="preserve">1253/2015 </w:t>
            </w:r>
            <w:r w:rsidRPr="00417DC0">
              <w:rPr>
                <w:rFonts w:ascii="Arial" w:hAnsi="Arial" w:cs="Arial"/>
                <w:sz w:val="16"/>
                <w:szCs w:val="16"/>
              </w:rPr>
              <w:br/>
              <w:t>1380/2015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Este es el instrumento de planeación que parte del análisis de la situación ambiental institucional, con el propósito de brindar información y argumentos necesarios para el planteamiento de acciones de gestión ambiental que garanticen primordialmente el cumplimiento de los objetivos de ecoeficiencia. Por lo anterior es una herramienta de corresponsabilidad y reflejará una institucion fortalecida.</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Sostenibilidad en la operación y funcionamiento de los puntos de atención al ciudadano de la SDA. </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Durante el 2015  se hizo presencia en Siete (7) puntos de atención de la Red CADE, de igual forma se brindo atención en la Sede Principal, con el fin de realizar un acercamiento de la Entidad y difundir sus trámites misionales a la ciudadanía, contando con el personal idóneo.</w:t>
            </w:r>
            <w:r w:rsidRPr="00417DC0">
              <w:rPr>
                <w:rFonts w:ascii="Arial" w:hAnsi="Arial" w:cs="Arial"/>
                <w:sz w:val="16"/>
                <w:szCs w:val="16"/>
              </w:rPr>
              <w:br/>
            </w:r>
            <w:r w:rsidRPr="00417DC0">
              <w:rPr>
                <w:rFonts w:ascii="Arial" w:hAnsi="Arial" w:cs="Arial"/>
                <w:sz w:val="16"/>
                <w:szCs w:val="16"/>
              </w:rPr>
              <w:br/>
              <w:t xml:space="preserve">Se participó activamente en los superCADE Móvil programados por la Secretaria General de la Alcaldia Mayor de Bogotá  en las diferentes localidades.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291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Realizar Visitas a los puntos de atención donde hace presencia la SDA  y hacer seguimiento al cumplimiento del procedimiento,  protocolo y politica de servicio al ciudadano.  </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Durante el año 2015 se verificó el cumplimiento del protocolo de servicio a la ciudadanía, y lineamientos de atención de puntos de la red cade visitado.</w:t>
            </w:r>
            <w:r w:rsidRPr="00417DC0">
              <w:rPr>
                <w:rFonts w:ascii="Arial" w:hAnsi="Arial" w:cs="Arial"/>
                <w:sz w:val="16"/>
                <w:szCs w:val="16"/>
              </w:rPr>
              <w:br/>
              <w:t>se adelantó tambien visita a los coordinadores de los mencionados puntos, para la divulgación de los puntos de atención de la entidad, con la  entrega material  divulgativo como afiches y volantes informativos para ser dispuestos en los informadores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3495"/>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Participación en reuniones de seguimiento al servicio prestado por la SDA en la Red CADE, organizada por la Subdireccion Operativa de Servicio al Ciudadano - DDSC,</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Durante el año 2015 se participó en la las reuniones programadas por la Subdirección operativa de la Dirección Distrital de Servicio a la Ciudadanía. Se presentó reporte de avance  de actividades de la SDA, el 16 de diciembre de 2015, con radicado 2015IE229504,  con el fin generar una adenda al convenio 079 de 2013, de la Red Cade, y cumplimiento de objetivos por parte de entidad del citado convenio. También se asistió a la Reunión de la Comisión Intersectorial de Servicio a la Ciuudadanía del 16 de diciembre de 201|5 en la cual se dio aprobación de los documentos de lineamiento para la implementación de la Política Pública de Servicio a la ciudadanía construidos durante toda la vigencia.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r>
            <w:r w:rsidRPr="00417DC0">
              <w:rPr>
                <w:rFonts w:ascii="Arial" w:hAnsi="Arial" w:cs="Arial"/>
                <w:sz w:val="16"/>
                <w:szCs w:val="16"/>
              </w:rPr>
              <w:lastRenderedPageBreak/>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Gestionar ante la Secretaria General y Directivas de  la SDA la  apertura de nuevos puntos de atención  donde la Secretaria Distrital de Ambiente aun no hace presencia y que las necesidades del servicio lo </w:t>
            </w:r>
            <w:proofErr w:type="gramStart"/>
            <w:r w:rsidRPr="00417DC0">
              <w:rPr>
                <w:rFonts w:ascii="Arial" w:hAnsi="Arial" w:cs="Arial"/>
                <w:sz w:val="16"/>
                <w:szCs w:val="16"/>
              </w:rPr>
              <w:t>requiera</w:t>
            </w:r>
            <w:proofErr w:type="gramEnd"/>
            <w:r w:rsidRPr="00417DC0">
              <w:rPr>
                <w:rFonts w:ascii="Arial" w:hAnsi="Arial" w:cs="Arial"/>
                <w:sz w:val="16"/>
                <w:szCs w:val="16"/>
              </w:rPr>
              <w:t>.</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Durante el 2015, se continúo con el desempeño de la atención de los puntos en la redCADE y superCADE, funcionando  con los ocho (8) puntos de atención que ofrecen mayor demanda de acuerdo con los reportes arrojados y atendiendo la sugerencia de la Dirección Distrital de Servicio a la Ciudadanía, conformandose 8 puntos de atención con el correspondiente a la Sede Principal de la entidad.</w:t>
            </w:r>
            <w:r w:rsidRPr="00417DC0">
              <w:rPr>
                <w:rFonts w:ascii="Arial" w:hAnsi="Arial" w:cs="Arial"/>
                <w:sz w:val="16"/>
                <w:szCs w:val="16"/>
              </w:rPr>
              <w:br/>
              <w:t xml:space="preserve">Se  </w:t>
            </w:r>
            <w:proofErr w:type="gramStart"/>
            <w:r w:rsidRPr="00417DC0">
              <w:rPr>
                <w:rFonts w:ascii="Arial" w:hAnsi="Arial" w:cs="Arial"/>
                <w:sz w:val="16"/>
                <w:szCs w:val="16"/>
              </w:rPr>
              <w:t>continua</w:t>
            </w:r>
            <w:proofErr w:type="gramEnd"/>
            <w:r w:rsidRPr="00417DC0">
              <w:rPr>
                <w:rFonts w:ascii="Arial" w:hAnsi="Arial" w:cs="Arial"/>
                <w:sz w:val="16"/>
                <w:szCs w:val="16"/>
              </w:rPr>
              <w:t xml:space="preserve"> con el  personal técnico y profesional para la atención en los citados puntos, buscando mejorar la calidad del servicio en información, trámites y servicios a la ciudadanía, con   20 ventanillas  de atención disponibles  a la ciudadanía, en los canales presencial y telefónco.</w:t>
            </w:r>
            <w:r w:rsidRPr="00417DC0">
              <w:rPr>
                <w:rFonts w:ascii="Arial" w:hAnsi="Arial" w:cs="Arial"/>
                <w:sz w:val="16"/>
                <w:szCs w:val="16"/>
              </w:rPr>
              <w:br/>
              <w:t xml:space="preserve">Se elabora un balance sobre usuarios y trámites y servicios prestados en puntos de atención de la presente vigencia, respecto de la vigencia 2014, observando aumento en ciudadanos atendidos y de </w:t>
            </w:r>
            <w:proofErr w:type="gramStart"/>
            <w:r w:rsidRPr="00417DC0">
              <w:rPr>
                <w:rFonts w:ascii="Arial" w:hAnsi="Arial" w:cs="Arial"/>
                <w:sz w:val="16"/>
                <w:szCs w:val="16"/>
              </w:rPr>
              <w:t>tramites</w:t>
            </w:r>
            <w:proofErr w:type="gramEnd"/>
            <w:r w:rsidRPr="00417DC0">
              <w:rPr>
                <w:rFonts w:ascii="Arial" w:hAnsi="Arial" w:cs="Arial"/>
                <w:sz w:val="16"/>
                <w:szCs w:val="16"/>
              </w:rPr>
              <w:t xml:space="preserve"> prestados en un 25% aproximadamente.</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seguimiento al tiempo de respuesta de los Trámites y/o Servicios gestionados en cada una delas áreas con el fin de alimentar el Informe trimestral de Estandares e Indicares exigido por la Subdireccion de Calidad de la Secretaria General de la Alcaldia Mayor de Bogota. Dando cumplimiento a la Circular 035 de 2008.</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realizó seguimiento al tiempo de respuesta de los Trámites y/o Servicios gestionados en cada una de las áreas con el fin de alimentar el Informe trimestral de Estandares e Indicares con referencia al  Reporte Forest trazabilidad:</w:t>
            </w:r>
            <w:r w:rsidRPr="00417DC0">
              <w:rPr>
                <w:rFonts w:ascii="Arial" w:hAnsi="Arial" w:cs="Arial"/>
                <w:sz w:val="16"/>
                <w:szCs w:val="16"/>
              </w:rPr>
              <w:br/>
              <w:t>Creación de terceros, Estándares e Indicadores, Guía de trámites y Servicios y Mapa callejero, Se certifica la actualización de los GTS por la delegada de la entidad lo cual consta en  3 certificados de confiabilidad enviados a la Subdirección Operativa de la Dirección Distrital de Servicio a la Ciudadanía.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Gestionar con las areas de la Entidad los ajustes y/o cambios en la Guia de Trámites y Servicios.</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actualizaron todos los trámites  conforme a las necesidades de las dependencias y verificando el cumplimiento normativo, y se expidió el certificado de confiabilidad mensualmente el cual se envió dentro de los plazos establecidos  a la Secretaria General de la Alcaldía Mayor.</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Actualización  del Sistema Unico de Tramites - SUIT</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tiene un 88% en  gestión de formularios que se encuentran en el inventario y están asociados a un formato integrado, y un porcentaje de avance en la inscripción de trámites y Otros Procedimientos Administrativos-OPAS de 48% gestión de inscripción de formatos integrados (Sean trámites o procedimientos administrativos) Inscritos.</w:t>
            </w:r>
            <w:r w:rsidRPr="00417DC0">
              <w:rPr>
                <w:rFonts w:ascii="Arial" w:hAnsi="Arial" w:cs="Arial"/>
                <w:sz w:val="16"/>
                <w:szCs w:val="16"/>
              </w:rPr>
              <w:br/>
            </w:r>
            <w:r w:rsidRPr="00417DC0">
              <w:rPr>
                <w:rFonts w:ascii="Arial" w:hAnsi="Arial" w:cs="Arial"/>
                <w:sz w:val="16"/>
                <w:szCs w:val="16"/>
              </w:rPr>
              <w:br/>
              <w:t xml:space="preserve">Trámites inscritos al SUIT v3.0 con tiempos definidos (11): </w:t>
            </w:r>
            <w:r w:rsidRPr="00417DC0">
              <w:rPr>
                <w:rFonts w:ascii="Arial" w:hAnsi="Arial" w:cs="Arial"/>
                <w:sz w:val="16"/>
                <w:szCs w:val="16"/>
              </w:rPr>
              <w:br/>
              <w:t>-  Centros de diagnóstico automotor</w:t>
            </w:r>
            <w:r w:rsidRPr="00417DC0">
              <w:rPr>
                <w:rFonts w:ascii="Arial" w:hAnsi="Arial" w:cs="Arial"/>
                <w:sz w:val="16"/>
                <w:szCs w:val="16"/>
              </w:rPr>
              <w:br/>
              <w:t>-  Concesión de aguas subterráneas</w:t>
            </w:r>
            <w:r w:rsidRPr="00417DC0">
              <w:rPr>
                <w:rFonts w:ascii="Arial" w:hAnsi="Arial" w:cs="Arial"/>
                <w:sz w:val="16"/>
                <w:szCs w:val="16"/>
              </w:rPr>
              <w:br/>
              <w:t xml:space="preserve">-  Concesión de aguas superficiales </w:t>
            </w:r>
            <w:r w:rsidRPr="00417DC0">
              <w:rPr>
                <w:rFonts w:ascii="Arial" w:hAnsi="Arial" w:cs="Arial"/>
                <w:sz w:val="16"/>
                <w:szCs w:val="16"/>
              </w:rPr>
              <w:br/>
              <w:t>-  Expedición salvoconducto para la movilización de especímenes de la diversidad biológica</w:t>
            </w:r>
            <w:r w:rsidRPr="00417DC0">
              <w:rPr>
                <w:rFonts w:ascii="Arial" w:hAnsi="Arial" w:cs="Arial"/>
                <w:sz w:val="16"/>
                <w:szCs w:val="16"/>
              </w:rPr>
              <w:br/>
              <w:t xml:space="preserve">-  Inscripción en el registro de generadores de residuos o desechos peligrosos </w:t>
            </w:r>
            <w:r w:rsidRPr="00417DC0">
              <w:rPr>
                <w:rFonts w:ascii="Arial" w:hAnsi="Arial" w:cs="Arial"/>
                <w:sz w:val="16"/>
                <w:szCs w:val="16"/>
              </w:rPr>
              <w:br/>
              <w:t>-  Licencia ambiental</w:t>
            </w:r>
            <w:r w:rsidRPr="00417DC0">
              <w:rPr>
                <w:rFonts w:ascii="Arial" w:hAnsi="Arial" w:cs="Arial"/>
                <w:sz w:val="16"/>
                <w:szCs w:val="16"/>
              </w:rPr>
              <w:br/>
              <w:t>-  Permiso de prospección y exploración de aguas subterráneas</w:t>
            </w:r>
            <w:r w:rsidRPr="00417DC0">
              <w:rPr>
                <w:rFonts w:ascii="Arial" w:hAnsi="Arial" w:cs="Arial"/>
                <w:sz w:val="16"/>
                <w:szCs w:val="16"/>
              </w:rPr>
              <w:br/>
              <w:t>-  Permiso de vertimientos</w:t>
            </w:r>
            <w:r w:rsidRPr="00417DC0">
              <w:rPr>
                <w:rFonts w:ascii="Arial" w:hAnsi="Arial" w:cs="Arial"/>
                <w:sz w:val="16"/>
                <w:szCs w:val="16"/>
              </w:rPr>
              <w:br/>
              <w:t>-  Permiso emisión atmosférica para fuentes fijas</w:t>
            </w:r>
            <w:r w:rsidRPr="00417DC0">
              <w:rPr>
                <w:rFonts w:ascii="Arial" w:hAnsi="Arial" w:cs="Arial"/>
                <w:sz w:val="16"/>
                <w:szCs w:val="16"/>
              </w:rPr>
              <w:br/>
              <w:t>-  Plan de manejo de restauración y recuperación ambiental</w:t>
            </w:r>
            <w:r w:rsidRPr="00417DC0">
              <w:rPr>
                <w:rFonts w:ascii="Arial" w:hAnsi="Arial" w:cs="Arial"/>
                <w:sz w:val="16"/>
                <w:szCs w:val="16"/>
              </w:rPr>
              <w:br/>
              <w:t>-  Registro de libro de operaciones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Gestionar con las areas misionales de la Entidad  Entrenamientos y orientación a los servidores de los puntos de atención sobre tramites y servicios que ofrece la SDA y otros temás de interes.</w:t>
            </w:r>
            <w:r w:rsidRPr="00417DC0">
              <w:rPr>
                <w:rFonts w:ascii="Arial" w:hAnsi="Arial" w:cs="Arial"/>
                <w:sz w:val="16"/>
                <w:szCs w:val="16"/>
              </w:rPr>
              <w:br/>
              <w:t>Y gestionar con la Secretaría General - DDSC apoyo en el tema de protocolos de servicio.</w:t>
            </w:r>
          </w:p>
        </w:tc>
        <w:tc>
          <w:tcPr>
            <w:tcW w:w="3791" w:type="dxa"/>
            <w:hideMark/>
          </w:tcPr>
          <w:p w:rsidR="00417DC0" w:rsidRPr="00417DC0" w:rsidRDefault="00417DC0" w:rsidP="00417DC0">
            <w:pPr>
              <w:tabs>
                <w:tab w:val="left" w:pos="1550"/>
              </w:tabs>
              <w:spacing w:after="160"/>
              <w:jc w:val="both"/>
              <w:rPr>
                <w:rFonts w:ascii="Arial" w:hAnsi="Arial" w:cs="Arial"/>
                <w:sz w:val="16"/>
                <w:szCs w:val="16"/>
              </w:rPr>
            </w:pPr>
            <w:r w:rsidRPr="00417DC0">
              <w:rPr>
                <w:rFonts w:ascii="Arial" w:hAnsi="Arial" w:cs="Arial"/>
                <w:sz w:val="16"/>
                <w:szCs w:val="16"/>
              </w:rPr>
              <w:t>Durante el primer (1er) trimestre se realizo entrenamiento al grupo de Servicio al Ciudadano a cerca de los siguientes temas:</w:t>
            </w:r>
            <w:r w:rsidRPr="00417DC0">
              <w:rPr>
                <w:rFonts w:ascii="Arial" w:hAnsi="Arial" w:cs="Arial"/>
                <w:sz w:val="16"/>
                <w:szCs w:val="16"/>
              </w:rPr>
              <w:br/>
              <w:t>_ Actividades de la necesidad del servicio.</w:t>
            </w:r>
            <w:r w:rsidRPr="00417DC0">
              <w:rPr>
                <w:rFonts w:ascii="Arial" w:hAnsi="Arial" w:cs="Arial"/>
                <w:sz w:val="16"/>
                <w:szCs w:val="16"/>
              </w:rPr>
              <w:br/>
              <w:t>_ Fortalecimiento en los trámites de la Subdirección de Recurso Hidrico y del Suelo.</w:t>
            </w:r>
            <w:r w:rsidRPr="00417DC0">
              <w:rPr>
                <w:rFonts w:ascii="Arial" w:hAnsi="Arial" w:cs="Arial"/>
                <w:sz w:val="16"/>
                <w:szCs w:val="16"/>
              </w:rPr>
              <w:br/>
              <w:t>_ Comparendo Ambiental.</w:t>
            </w:r>
            <w:r w:rsidRPr="00417DC0">
              <w:rPr>
                <w:rFonts w:ascii="Arial" w:hAnsi="Arial" w:cs="Arial"/>
                <w:sz w:val="16"/>
                <w:szCs w:val="16"/>
              </w:rPr>
              <w:br/>
              <w:t>_ Registro y Permiso de Vertimientos Subdirección de Recurso Hidrico y del Suelo.</w:t>
            </w:r>
            <w:r w:rsidRPr="00417DC0">
              <w:rPr>
                <w:rFonts w:ascii="Arial" w:hAnsi="Arial" w:cs="Arial"/>
                <w:sz w:val="16"/>
                <w:szCs w:val="16"/>
              </w:rPr>
              <w:br/>
              <w:t>_ Disposición de Llantas. Subdirección de Control ambiental al Sector Público.</w:t>
            </w:r>
            <w:r w:rsidRPr="00417DC0">
              <w:rPr>
                <w:rFonts w:ascii="Arial" w:hAnsi="Arial" w:cs="Arial"/>
                <w:sz w:val="16"/>
                <w:szCs w:val="16"/>
              </w:rPr>
              <w:br/>
              <w:t>_ Ambito del derecho Ambiental</w:t>
            </w:r>
            <w:r w:rsidRPr="00417DC0">
              <w:rPr>
                <w:rFonts w:ascii="Arial" w:hAnsi="Arial" w:cs="Arial"/>
                <w:sz w:val="16"/>
                <w:szCs w:val="16"/>
              </w:rPr>
              <w:br/>
              <w:t>_ Tip´s de trabajo</w:t>
            </w:r>
            <w:r w:rsidRPr="00417DC0">
              <w:rPr>
                <w:rFonts w:ascii="Arial" w:hAnsi="Arial" w:cs="Arial"/>
                <w:sz w:val="16"/>
                <w:szCs w:val="16"/>
              </w:rPr>
              <w:br/>
              <w:t>_ Presentación de las cuentas de cobro de cada contratista.</w:t>
            </w:r>
            <w:r w:rsidRPr="00417DC0">
              <w:rPr>
                <w:rFonts w:ascii="Arial" w:hAnsi="Arial" w:cs="Arial"/>
                <w:sz w:val="16"/>
                <w:szCs w:val="16"/>
              </w:rPr>
              <w:br/>
              <w:t>_ Permiso de Ocupación de Cauce. Subdirección de Control ambiental al Sector Público.</w:t>
            </w:r>
            <w:r w:rsidRPr="00417DC0">
              <w:rPr>
                <w:rFonts w:ascii="Arial" w:hAnsi="Arial" w:cs="Arial"/>
                <w:sz w:val="16"/>
                <w:szCs w:val="16"/>
              </w:rPr>
              <w:br/>
              <w:t>_ Organización del estado y las Competencias Ambientales.</w:t>
            </w:r>
            <w:r w:rsidRPr="00417DC0">
              <w:rPr>
                <w:rFonts w:ascii="Arial" w:hAnsi="Arial" w:cs="Arial"/>
                <w:sz w:val="16"/>
                <w:szCs w:val="16"/>
              </w:rPr>
              <w:br/>
              <w:t>_ Creación de Terceros.</w:t>
            </w:r>
            <w:r w:rsidRPr="00417DC0">
              <w:rPr>
                <w:rFonts w:ascii="Arial" w:hAnsi="Arial" w:cs="Arial"/>
                <w:sz w:val="16"/>
                <w:szCs w:val="16"/>
              </w:rPr>
              <w:br/>
            </w:r>
            <w:r w:rsidRPr="00417DC0">
              <w:rPr>
                <w:rFonts w:ascii="Arial" w:hAnsi="Arial" w:cs="Arial"/>
                <w:sz w:val="16"/>
                <w:szCs w:val="16"/>
              </w:rPr>
              <w:br/>
              <w:t>Durante el Segundo (2do) trimestre se realizaron 60  entrenamientos al grupo de Servicio a la Ciudadanía a cerca de los siguientes temas:</w:t>
            </w:r>
            <w:r w:rsidRPr="00417DC0">
              <w:rPr>
                <w:rFonts w:ascii="Arial" w:hAnsi="Arial" w:cs="Arial"/>
                <w:sz w:val="16"/>
                <w:szCs w:val="16"/>
              </w:rPr>
              <w:br/>
              <w:t>ABRIL</w:t>
            </w:r>
            <w:r w:rsidRPr="00417DC0">
              <w:rPr>
                <w:rFonts w:ascii="Arial" w:hAnsi="Arial" w:cs="Arial"/>
                <w:sz w:val="16"/>
                <w:szCs w:val="16"/>
              </w:rPr>
              <w:br/>
              <w:t>01 de Abril de 2015,  Creación de Terceros.</w:t>
            </w:r>
            <w:r w:rsidRPr="00417DC0">
              <w:rPr>
                <w:rFonts w:ascii="Arial" w:hAnsi="Arial" w:cs="Arial"/>
                <w:sz w:val="16"/>
                <w:szCs w:val="16"/>
              </w:rPr>
              <w:br/>
              <w:t>06  de Abril de 2015, Reunión de Equipo  Servicio al Ciudadano, y presentación inicio proceso de gestión documental.</w:t>
            </w:r>
            <w:r w:rsidRPr="00417DC0">
              <w:rPr>
                <w:rFonts w:ascii="Arial" w:hAnsi="Arial" w:cs="Arial"/>
                <w:sz w:val="16"/>
                <w:szCs w:val="16"/>
              </w:rPr>
              <w:br/>
              <w:t>07 de Abril de 2015, Modelo de Servicio.</w:t>
            </w:r>
            <w:r w:rsidRPr="00417DC0">
              <w:rPr>
                <w:rFonts w:ascii="Arial" w:hAnsi="Arial" w:cs="Arial"/>
                <w:sz w:val="16"/>
                <w:szCs w:val="16"/>
              </w:rPr>
              <w:br/>
              <w:t>08 de Abril de 2015,Dinámica Trámites de Vertimientos SRHS</w:t>
            </w:r>
            <w:proofErr w:type="gramStart"/>
            <w:r w:rsidRPr="00417DC0">
              <w:rPr>
                <w:rFonts w:ascii="Arial" w:hAnsi="Arial" w:cs="Arial"/>
                <w:sz w:val="16"/>
                <w:szCs w:val="16"/>
              </w:rPr>
              <w:t>..</w:t>
            </w:r>
            <w:proofErr w:type="gramEnd"/>
            <w:r w:rsidRPr="00417DC0">
              <w:rPr>
                <w:rFonts w:ascii="Arial" w:hAnsi="Arial" w:cs="Arial"/>
                <w:sz w:val="16"/>
                <w:szCs w:val="16"/>
              </w:rPr>
              <w:br/>
              <w:t>09 de Abril de 2015, Hospitalarios, Sector  Público.</w:t>
            </w:r>
            <w:r w:rsidRPr="00417DC0">
              <w:rPr>
                <w:rFonts w:ascii="Arial" w:hAnsi="Arial" w:cs="Arial"/>
                <w:sz w:val="16"/>
                <w:szCs w:val="16"/>
              </w:rPr>
              <w:br/>
              <w:t>10 de Abril de 2015, Reunión de Equipo.</w:t>
            </w:r>
            <w:r w:rsidRPr="00417DC0">
              <w:rPr>
                <w:rFonts w:ascii="Arial" w:hAnsi="Arial" w:cs="Arial"/>
                <w:sz w:val="16"/>
                <w:szCs w:val="16"/>
              </w:rPr>
              <w:br/>
              <w:t>13 de Abril de 2015</w:t>
            </w:r>
            <w:proofErr w:type="gramStart"/>
            <w:r w:rsidRPr="00417DC0">
              <w:rPr>
                <w:rFonts w:ascii="Arial" w:hAnsi="Arial" w:cs="Arial"/>
                <w:sz w:val="16"/>
                <w:szCs w:val="16"/>
              </w:rPr>
              <w:t>,Reunión</w:t>
            </w:r>
            <w:proofErr w:type="gramEnd"/>
            <w:r w:rsidRPr="00417DC0">
              <w:rPr>
                <w:rFonts w:ascii="Arial" w:hAnsi="Arial" w:cs="Arial"/>
                <w:sz w:val="16"/>
                <w:szCs w:val="16"/>
              </w:rPr>
              <w:t xml:space="preserve"> de Equipo  Servicio al Ciudadano</w:t>
            </w:r>
            <w:r w:rsidRPr="00417DC0">
              <w:rPr>
                <w:rFonts w:ascii="Arial" w:hAnsi="Arial" w:cs="Arial"/>
                <w:sz w:val="16"/>
                <w:szCs w:val="16"/>
              </w:rPr>
              <w:br/>
              <w:t>14 de Abril de 2015, Competencias Subdirección Calidad Y Aire, Auditiva y Visual.</w:t>
            </w:r>
            <w:r w:rsidRPr="00417DC0">
              <w:rPr>
                <w:rFonts w:ascii="Arial" w:hAnsi="Arial" w:cs="Arial"/>
                <w:sz w:val="16"/>
                <w:szCs w:val="16"/>
              </w:rPr>
              <w:br/>
              <w:t>15 de Abril de 2015</w:t>
            </w:r>
            <w:proofErr w:type="gramStart"/>
            <w:r w:rsidRPr="00417DC0">
              <w:rPr>
                <w:rFonts w:ascii="Arial" w:hAnsi="Arial" w:cs="Arial"/>
                <w:sz w:val="16"/>
                <w:szCs w:val="16"/>
              </w:rPr>
              <w:t>,Reunión</w:t>
            </w:r>
            <w:proofErr w:type="gramEnd"/>
            <w:r w:rsidRPr="00417DC0">
              <w:rPr>
                <w:rFonts w:ascii="Arial" w:hAnsi="Arial" w:cs="Arial"/>
                <w:sz w:val="16"/>
                <w:szCs w:val="16"/>
              </w:rPr>
              <w:t xml:space="preserve"> de Equipo.</w:t>
            </w:r>
            <w:r w:rsidRPr="00417DC0">
              <w:rPr>
                <w:rFonts w:ascii="Arial" w:hAnsi="Arial" w:cs="Arial"/>
                <w:sz w:val="16"/>
                <w:szCs w:val="16"/>
              </w:rPr>
              <w:br/>
              <w:t>16 de Abril de 2015, Entrenamiento de Silvicultura  Flora y Fauna silvestre, Conceptos y Competencias.</w:t>
            </w:r>
            <w:r w:rsidRPr="00417DC0">
              <w:rPr>
                <w:rFonts w:ascii="Arial" w:hAnsi="Arial" w:cs="Arial"/>
                <w:sz w:val="16"/>
                <w:szCs w:val="16"/>
              </w:rPr>
              <w:br/>
              <w:t xml:space="preserve">17 de Abril de 2015, Reunión de Grupo y </w:t>
            </w:r>
            <w:r w:rsidRPr="00417DC0">
              <w:rPr>
                <w:rFonts w:ascii="Arial" w:hAnsi="Arial" w:cs="Arial"/>
                <w:sz w:val="16"/>
                <w:szCs w:val="16"/>
              </w:rPr>
              <w:lastRenderedPageBreak/>
              <w:t>Lineamientos.</w:t>
            </w:r>
            <w:r w:rsidRPr="00417DC0">
              <w:rPr>
                <w:rFonts w:ascii="Arial" w:hAnsi="Arial" w:cs="Arial"/>
                <w:sz w:val="16"/>
                <w:szCs w:val="16"/>
              </w:rPr>
              <w:br/>
              <w:t>20 de Abril de 2015, Fortalecimiento de Competencias.</w:t>
            </w:r>
            <w:r w:rsidRPr="00417DC0">
              <w:rPr>
                <w:rFonts w:ascii="Arial" w:hAnsi="Arial" w:cs="Arial"/>
                <w:sz w:val="16"/>
                <w:szCs w:val="16"/>
              </w:rPr>
              <w:br/>
              <w:t>21 de Abril de 2015, Fuentes  Fijas y Publicidad en vallas.</w:t>
            </w:r>
            <w:r w:rsidRPr="00417DC0">
              <w:rPr>
                <w:rFonts w:ascii="Arial" w:hAnsi="Arial" w:cs="Arial"/>
                <w:sz w:val="16"/>
                <w:szCs w:val="16"/>
              </w:rPr>
              <w:br/>
              <w:t>MAYO</w:t>
            </w:r>
            <w:r w:rsidRPr="00417DC0">
              <w:rPr>
                <w:rFonts w:ascii="Arial" w:hAnsi="Arial" w:cs="Arial"/>
                <w:sz w:val="16"/>
                <w:szCs w:val="16"/>
              </w:rPr>
              <w:br/>
              <w:t>04 de Mayo de 2015 Reunión de Grupo</w:t>
            </w:r>
            <w:r w:rsidRPr="00417DC0">
              <w:rPr>
                <w:rFonts w:ascii="Arial" w:hAnsi="Arial" w:cs="Arial"/>
                <w:sz w:val="16"/>
                <w:szCs w:val="16"/>
              </w:rPr>
              <w:br/>
              <w:t>05 de Mayo de 2015 SCAAV Fuentes Fijas</w:t>
            </w:r>
            <w:r w:rsidRPr="00417DC0">
              <w:rPr>
                <w:rFonts w:ascii="Arial" w:hAnsi="Arial" w:cs="Arial"/>
                <w:sz w:val="16"/>
                <w:szCs w:val="16"/>
              </w:rPr>
              <w:br/>
              <w:t>06 de Mayo de 2015 Dinámica Tramites de la SRHS</w:t>
            </w:r>
            <w:r w:rsidRPr="00417DC0">
              <w:rPr>
                <w:rFonts w:ascii="Arial" w:hAnsi="Arial" w:cs="Arial"/>
                <w:sz w:val="16"/>
                <w:szCs w:val="16"/>
              </w:rPr>
              <w:br/>
              <w:t>07 de Mayo de 2015 Fauna Doméstica</w:t>
            </w:r>
            <w:r w:rsidRPr="00417DC0">
              <w:rPr>
                <w:rFonts w:ascii="Arial" w:hAnsi="Arial" w:cs="Arial"/>
                <w:sz w:val="16"/>
                <w:szCs w:val="16"/>
              </w:rPr>
              <w:br/>
              <w:t>08 de Mayo de 2015 Reunión de Grupo</w:t>
            </w:r>
            <w:r w:rsidRPr="00417DC0">
              <w:rPr>
                <w:rFonts w:ascii="Arial" w:hAnsi="Arial" w:cs="Arial"/>
                <w:sz w:val="16"/>
                <w:szCs w:val="16"/>
              </w:rPr>
              <w:br/>
              <w:t>11 de Mayo de 2015 Reunión de Grupo</w:t>
            </w:r>
            <w:r w:rsidRPr="00417DC0">
              <w:rPr>
                <w:rFonts w:ascii="Arial" w:hAnsi="Arial" w:cs="Arial"/>
                <w:sz w:val="16"/>
                <w:szCs w:val="16"/>
              </w:rPr>
              <w:br/>
              <w:t>12 de Mayo de 2015 SCAAV Plan Decenal</w:t>
            </w:r>
            <w:r w:rsidRPr="00417DC0">
              <w:rPr>
                <w:rFonts w:ascii="Arial" w:hAnsi="Arial" w:cs="Arial"/>
                <w:sz w:val="16"/>
                <w:szCs w:val="16"/>
              </w:rPr>
              <w:br/>
              <w:t>14 de Mayo de 2015 Fauna Silvestre</w:t>
            </w:r>
            <w:r w:rsidRPr="00417DC0">
              <w:rPr>
                <w:rFonts w:ascii="Arial" w:hAnsi="Arial" w:cs="Arial"/>
                <w:sz w:val="16"/>
                <w:szCs w:val="16"/>
              </w:rPr>
              <w:br/>
              <w:t>15 de Mayo de 2015 Reunión de Grupo</w:t>
            </w:r>
            <w:r w:rsidRPr="00417DC0">
              <w:rPr>
                <w:rFonts w:ascii="Arial" w:hAnsi="Arial" w:cs="Arial"/>
                <w:sz w:val="16"/>
                <w:szCs w:val="16"/>
              </w:rPr>
              <w:br/>
              <w:t>19 de Mayo de 2015 SCAAV Fuentes Móviles</w:t>
            </w:r>
            <w:r w:rsidRPr="00417DC0">
              <w:rPr>
                <w:rFonts w:ascii="Arial" w:hAnsi="Arial" w:cs="Arial"/>
                <w:sz w:val="16"/>
                <w:szCs w:val="16"/>
              </w:rPr>
              <w:br/>
              <w:t>20 de Mayo de 2015 Solicitudes de Evaluación  de PMA y/o PMRRA en predios mineros</w:t>
            </w:r>
            <w:r w:rsidRPr="00417DC0">
              <w:rPr>
                <w:rFonts w:ascii="Arial" w:hAnsi="Arial" w:cs="Arial"/>
                <w:sz w:val="16"/>
                <w:szCs w:val="16"/>
              </w:rPr>
              <w:br/>
              <w:t>22 de Mayo de 2015 Reunión de Grupo</w:t>
            </w:r>
            <w:r w:rsidRPr="00417DC0">
              <w:rPr>
                <w:rFonts w:ascii="Arial" w:hAnsi="Arial" w:cs="Arial"/>
                <w:sz w:val="16"/>
                <w:szCs w:val="16"/>
              </w:rPr>
              <w:br/>
              <w:t>JUNIO.</w:t>
            </w:r>
            <w:r w:rsidRPr="00417DC0">
              <w:rPr>
                <w:rFonts w:ascii="Arial" w:hAnsi="Arial" w:cs="Arial"/>
                <w:sz w:val="16"/>
                <w:szCs w:val="16"/>
              </w:rPr>
              <w:br/>
              <w:t>01-06-2015 Reunión de Grupo - Canal Telefónico</w:t>
            </w:r>
            <w:r w:rsidRPr="00417DC0">
              <w:rPr>
                <w:rFonts w:ascii="Arial" w:hAnsi="Arial" w:cs="Arial"/>
                <w:sz w:val="16"/>
                <w:szCs w:val="16"/>
              </w:rPr>
              <w:br/>
              <w:t>02-06-2015 SCAAV - Pev segunda parte</w:t>
            </w:r>
            <w:r w:rsidRPr="00417DC0">
              <w:rPr>
                <w:rFonts w:ascii="Arial" w:hAnsi="Arial" w:cs="Arial"/>
                <w:sz w:val="16"/>
                <w:szCs w:val="16"/>
              </w:rPr>
              <w:br/>
              <w:t>03-06-2015 SRHS Aceites Usados</w:t>
            </w:r>
            <w:r w:rsidRPr="00417DC0">
              <w:rPr>
                <w:rFonts w:ascii="Arial" w:hAnsi="Arial" w:cs="Arial"/>
                <w:sz w:val="16"/>
                <w:szCs w:val="16"/>
              </w:rPr>
              <w:br/>
              <w:t>04-06-2015 Taller  de Tramites y Servicios</w:t>
            </w:r>
            <w:r w:rsidRPr="00417DC0">
              <w:rPr>
                <w:rFonts w:ascii="Arial" w:hAnsi="Arial" w:cs="Arial"/>
                <w:sz w:val="16"/>
                <w:szCs w:val="16"/>
              </w:rPr>
              <w:br/>
              <w:t>09-06-2015 SCAAV Ruido</w:t>
            </w:r>
            <w:r w:rsidRPr="00417DC0">
              <w:rPr>
                <w:rFonts w:ascii="Arial" w:hAnsi="Arial" w:cs="Arial"/>
                <w:sz w:val="16"/>
                <w:szCs w:val="16"/>
              </w:rPr>
              <w:br/>
              <w:t>10-06-2015 Reunión de Grupo</w:t>
            </w:r>
            <w:r w:rsidRPr="00417DC0">
              <w:rPr>
                <w:rFonts w:ascii="Arial" w:hAnsi="Arial" w:cs="Arial"/>
                <w:sz w:val="16"/>
                <w:szCs w:val="16"/>
              </w:rPr>
              <w:br/>
              <w:t>11-06-2015 Pines Volquetas</w:t>
            </w:r>
            <w:r w:rsidRPr="00417DC0">
              <w:rPr>
                <w:rFonts w:ascii="Arial" w:hAnsi="Arial" w:cs="Arial"/>
                <w:sz w:val="16"/>
                <w:szCs w:val="16"/>
              </w:rPr>
              <w:br/>
              <w:t>16-06-2015 SCAAV - Pev</w:t>
            </w:r>
            <w:r w:rsidRPr="00417DC0">
              <w:rPr>
                <w:rFonts w:ascii="Arial" w:hAnsi="Arial" w:cs="Arial"/>
                <w:sz w:val="16"/>
                <w:szCs w:val="16"/>
              </w:rPr>
              <w:br/>
              <w:t>17-06-2015 SRHS Licencias Ambientales</w:t>
            </w:r>
            <w:r w:rsidRPr="00417DC0">
              <w:rPr>
                <w:rFonts w:ascii="Arial" w:hAnsi="Arial" w:cs="Arial"/>
                <w:sz w:val="16"/>
                <w:szCs w:val="16"/>
              </w:rPr>
              <w:br/>
              <w:t>18-06-2015 SCASP Hospitalarios</w:t>
            </w:r>
            <w:r w:rsidRPr="00417DC0">
              <w:rPr>
                <w:rFonts w:ascii="Arial" w:hAnsi="Arial" w:cs="Arial"/>
                <w:sz w:val="16"/>
                <w:szCs w:val="16"/>
              </w:rPr>
              <w:br/>
              <w:t>19-06-2015 Reunión de Grupo</w:t>
            </w:r>
            <w:r w:rsidRPr="00417DC0">
              <w:rPr>
                <w:rFonts w:ascii="Arial" w:hAnsi="Arial" w:cs="Arial"/>
                <w:sz w:val="16"/>
                <w:szCs w:val="16"/>
              </w:rPr>
              <w:br/>
              <w:t>22-06-2015 Reunión de Grupo</w:t>
            </w:r>
            <w:r w:rsidRPr="00417DC0">
              <w:rPr>
                <w:rFonts w:ascii="Arial" w:hAnsi="Arial" w:cs="Arial"/>
                <w:sz w:val="16"/>
                <w:szCs w:val="16"/>
              </w:rPr>
              <w:br/>
            </w:r>
            <w:r w:rsidRPr="00417DC0">
              <w:rPr>
                <w:rFonts w:ascii="Arial" w:hAnsi="Arial" w:cs="Arial"/>
                <w:sz w:val="16"/>
                <w:szCs w:val="16"/>
              </w:rPr>
              <w:br/>
              <w:t>Durante el Tercer(3ro) trimestre se realizaron 31  entrenamientos al grupo de Servicio a la Ciudadanía a cerca de los siguientes temas:</w:t>
            </w:r>
            <w:r w:rsidRPr="00417DC0">
              <w:rPr>
                <w:rFonts w:ascii="Arial" w:hAnsi="Arial" w:cs="Arial"/>
                <w:sz w:val="16"/>
                <w:szCs w:val="16"/>
              </w:rPr>
              <w:br/>
              <w:t>JULIO  Sistema Integrado de Gestión</w:t>
            </w:r>
            <w:r w:rsidRPr="00417DC0">
              <w:rPr>
                <w:rFonts w:ascii="Arial" w:hAnsi="Arial" w:cs="Arial"/>
                <w:sz w:val="16"/>
                <w:szCs w:val="16"/>
              </w:rPr>
              <w:br/>
              <w:t>JULIO  Sistema Integrado de Gestión 2</w:t>
            </w:r>
            <w:r w:rsidRPr="00417DC0">
              <w:rPr>
                <w:rFonts w:ascii="Arial" w:hAnsi="Arial" w:cs="Arial"/>
                <w:sz w:val="16"/>
                <w:szCs w:val="16"/>
              </w:rPr>
              <w:br/>
              <w:t>JULIO  Sistema Integrado de Gestión</w:t>
            </w:r>
            <w:r w:rsidRPr="00417DC0">
              <w:rPr>
                <w:rFonts w:ascii="Arial" w:hAnsi="Arial" w:cs="Arial"/>
                <w:sz w:val="16"/>
                <w:szCs w:val="16"/>
              </w:rPr>
              <w:br/>
              <w:t>JULIO  Nueva ley Derecho de Petición 1755</w:t>
            </w:r>
            <w:r w:rsidRPr="00417DC0">
              <w:rPr>
                <w:rFonts w:ascii="Arial" w:hAnsi="Arial" w:cs="Arial"/>
                <w:sz w:val="16"/>
                <w:szCs w:val="16"/>
              </w:rPr>
              <w:br/>
              <w:t>JULIO  Notificaciones Electrónicas</w:t>
            </w:r>
            <w:r w:rsidRPr="00417DC0">
              <w:rPr>
                <w:rFonts w:ascii="Arial" w:hAnsi="Arial" w:cs="Arial"/>
                <w:sz w:val="16"/>
                <w:szCs w:val="16"/>
              </w:rPr>
              <w:br/>
              <w:t>JULIO  Notificaciones Electrónicas- Cancelo</w:t>
            </w:r>
            <w:r w:rsidRPr="00417DC0">
              <w:rPr>
                <w:rFonts w:ascii="Arial" w:hAnsi="Arial" w:cs="Arial"/>
                <w:sz w:val="16"/>
                <w:szCs w:val="16"/>
              </w:rPr>
              <w:br/>
            </w:r>
            <w:r w:rsidRPr="00417DC0">
              <w:rPr>
                <w:rFonts w:ascii="Arial" w:hAnsi="Arial" w:cs="Arial"/>
                <w:sz w:val="16"/>
                <w:szCs w:val="16"/>
              </w:rPr>
              <w:lastRenderedPageBreak/>
              <w:t>JULIO  PIGA</w:t>
            </w:r>
            <w:r w:rsidRPr="00417DC0">
              <w:rPr>
                <w:rFonts w:ascii="Arial" w:hAnsi="Arial" w:cs="Arial"/>
                <w:sz w:val="16"/>
                <w:szCs w:val="16"/>
              </w:rPr>
              <w:br/>
              <w:t>JULIO  Sistema Integrado de Gestión</w:t>
            </w:r>
            <w:r w:rsidRPr="00417DC0">
              <w:rPr>
                <w:rFonts w:ascii="Arial" w:hAnsi="Arial" w:cs="Arial"/>
                <w:sz w:val="16"/>
                <w:szCs w:val="16"/>
              </w:rPr>
              <w:br/>
              <w:t>JULIO Reunión de grupo</w:t>
            </w:r>
            <w:r w:rsidRPr="00417DC0">
              <w:rPr>
                <w:rFonts w:ascii="Arial" w:hAnsi="Arial" w:cs="Arial"/>
                <w:sz w:val="16"/>
                <w:szCs w:val="16"/>
              </w:rPr>
              <w:br/>
              <w:t>AGOSTO Brigada de Atencion al Ciudadano</w:t>
            </w:r>
            <w:r w:rsidRPr="00417DC0">
              <w:rPr>
                <w:rFonts w:ascii="Arial" w:hAnsi="Arial" w:cs="Arial"/>
                <w:sz w:val="16"/>
                <w:szCs w:val="16"/>
              </w:rPr>
              <w:br/>
              <w:t>AGOSTO FOREST- Correspondencia enviada externa</w:t>
            </w:r>
            <w:r w:rsidRPr="00417DC0">
              <w:rPr>
                <w:rFonts w:ascii="Arial" w:hAnsi="Arial" w:cs="Arial"/>
                <w:sz w:val="16"/>
                <w:szCs w:val="16"/>
              </w:rPr>
              <w:br/>
              <w:t>AGOSTO Plática Alistamiento para Auditoria - Servicio al Ciudadano</w:t>
            </w:r>
            <w:r w:rsidRPr="00417DC0">
              <w:rPr>
                <w:rFonts w:ascii="Arial" w:hAnsi="Arial" w:cs="Arial"/>
                <w:sz w:val="16"/>
                <w:szCs w:val="16"/>
              </w:rPr>
              <w:br/>
              <w:t xml:space="preserve">AGOSTO Plática Alistamiento para Auditoria - Servicio al Ciudadano 2 </w:t>
            </w:r>
            <w:r w:rsidRPr="00417DC0">
              <w:rPr>
                <w:rFonts w:ascii="Arial" w:hAnsi="Arial" w:cs="Arial"/>
                <w:sz w:val="16"/>
                <w:szCs w:val="16"/>
              </w:rPr>
              <w:br/>
              <w:t>AGOSTO  Liquidadores</w:t>
            </w:r>
            <w:r w:rsidRPr="00417DC0">
              <w:rPr>
                <w:rFonts w:ascii="Arial" w:hAnsi="Arial" w:cs="Arial"/>
                <w:sz w:val="16"/>
                <w:szCs w:val="16"/>
              </w:rPr>
              <w:br/>
              <w:t>AGOSTO Notificaciones Electrónica</w:t>
            </w:r>
            <w:r w:rsidRPr="00417DC0">
              <w:rPr>
                <w:rFonts w:ascii="Arial" w:hAnsi="Arial" w:cs="Arial"/>
                <w:sz w:val="16"/>
                <w:szCs w:val="16"/>
              </w:rPr>
              <w:br/>
              <w:t>AGOSTO Plática Alistamiento para Auditoria - Gestion Documental</w:t>
            </w:r>
            <w:r w:rsidRPr="00417DC0">
              <w:rPr>
                <w:rFonts w:ascii="Arial" w:hAnsi="Arial" w:cs="Arial"/>
                <w:sz w:val="16"/>
                <w:szCs w:val="16"/>
              </w:rPr>
              <w:br/>
              <w:t>AGOSTO 2 Plática Alistamiento para Auditoria - Gestion Documental</w:t>
            </w:r>
            <w:r w:rsidRPr="00417DC0">
              <w:rPr>
                <w:rFonts w:ascii="Arial" w:hAnsi="Arial" w:cs="Arial"/>
                <w:sz w:val="16"/>
                <w:szCs w:val="16"/>
              </w:rPr>
              <w:br/>
              <w:t>AGOSTO Plática Alistamiento para Auditoria - Gestion Documental</w:t>
            </w:r>
            <w:r w:rsidRPr="00417DC0">
              <w:rPr>
                <w:rFonts w:ascii="Arial" w:hAnsi="Arial" w:cs="Arial"/>
                <w:sz w:val="16"/>
                <w:szCs w:val="16"/>
              </w:rPr>
              <w:br/>
              <w:t>AGOSTO Alistamiento Auditoria</w:t>
            </w:r>
            <w:r w:rsidRPr="00417DC0">
              <w:rPr>
                <w:rFonts w:ascii="Arial" w:hAnsi="Arial" w:cs="Arial"/>
                <w:sz w:val="16"/>
                <w:szCs w:val="16"/>
              </w:rPr>
              <w:br/>
              <w:t xml:space="preserve">AGOSTO PEV- Publicidad Electoral </w:t>
            </w:r>
            <w:r w:rsidRPr="00417DC0">
              <w:rPr>
                <w:rFonts w:ascii="Arial" w:hAnsi="Arial" w:cs="Arial"/>
                <w:sz w:val="16"/>
                <w:szCs w:val="16"/>
              </w:rPr>
              <w:br/>
              <w:t xml:space="preserve">AGOSTO Alistamiento Auditoria </w:t>
            </w:r>
            <w:r w:rsidRPr="00417DC0">
              <w:rPr>
                <w:rFonts w:ascii="Arial" w:hAnsi="Arial" w:cs="Arial"/>
                <w:sz w:val="16"/>
                <w:szCs w:val="16"/>
              </w:rPr>
              <w:br/>
              <w:t>AGOSTO SEGAE</w:t>
            </w:r>
            <w:r w:rsidRPr="00417DC0">
              <w:rPr>
                <w:rFonts w:ascii="Arial" w:hAnsi="Arial" w:cs="Arial"/>
                <w:sz w:val="16"/>
                <w:szCs w:val="16"/>
              </w:rPr>
              <w:br/>
              <w:t>AGOSTO Auditorias- Cumplimuiento al protocolo</w:t>
            </w:r>
            <w:r w:rsidRPr="00417DC0">
              <w:rPr>
                <w:rFonts w:ascii="Arial" w:hAnsi="Arial" w:cs="Arial"/>
                <w:sz w:val="16"/>
                <w:szCs w:val="16"/>
              </w:rPr>
              <w:br/>
              <w:t xml:space="preserve">AGOSTO Reunion de Grupo </w:t>
            </w:r>
            <w:r w:rsidRPr="00417DC0">
              <w:rPr>
                <w:rFonts w:ascii="Arial" w:hAnsi="Arial" w:cs="Arial"/>
                <w:sz w:val="16"/>
                <w:szCs w:val="16"/>
              </w:rPr>
              <w:br/>
              <w:t xml:space="preserve">SEPTIEMBRE Comparendo Ambiental </w:t>
            </w:r>
            <w:r w:rsidRPr="00417DC0">
              <w:rPr>
                <w:rFonts w:ascii="Arial" w:hAnsi="Arial" w:cs="Arial"/>
                <w:sz w:val="16"/>
                <w:szCs w:val="16"/>
              </w:rPr>
              <w:br/>
              <w:t>SEPTIEMBRE PIGA - Residuos Peligrosos</w:t>
            </w:r>
            <w:r w:rsidRPr="00417DC0">
              <w:rPr>
                <w:rFonts w:ascii="Arial" w:hAnsi="Arial" w:cs="Arial"/>
                <w:sz w:val="16"/>
                <w:szCs w:val="16"/>
              </w:rPr>
              <w:br/>
              <w:t xml:space="preserve">SEPTIEMBRE Taller de Competencias </w:t>
            </w:r>
            <w:r w:rsidRPr="00417DC0">
              <w:rPr>
                <w:rFonts w:ascii="Arial" w:hAnsi="Arial" w:cs="Arial"/>
                <w:sz w:val="16"/>
                <w:szCs w:val="16"/>
              </w:rPr>
              <w:br/>
              <w:t>SEPTIEMBRE Taller de Competencias  segunda parte</w:t>
            </w:r>
            <w:r w:rsidRPr="00417DC0">
              <w:rPr>
                <w:rFonts w:ascii="Arial" w:hAnsi="Arial" w:cs="Arial"/>
                <w:sz w:val="16"/>
                <w:szCs w:val="16"/>
              </w:rPr>
              <w:br/>
              <w:t>SEPTIEMBRE Taller de Competencias tercera parte</w:t>
            </w:r>
            <w:r w:rsidRPr="00417DC0">
              <w:rPr>
                <w:rFonts w:ascii="Arial" w:hAnsi="Arial" w:cs="Arial"/>
                <w:sz w:val="16"/>
                <w:szCs w:val="16"/>
              </w:rPr>
              <w:br/>
              <w:t>SEPTIEMBRE Taller de Competencias IV</w:t>
            </w:r>
            <w:r w:rsidRPr="00417DC0">
              <w:rPr>
                <w:rFonts w:ascii="Arial" w:hAnsi="Arial" w:cs="Arial"/>
                <w:sz w:val="16"/>
                <w:szCs w:val="16"/>
              </w:rPr>
              <w:br/>
              <w:t>SEPTIEMBRE  Presentacion y Capacitacion SIG</w:t>
            </w:r>
            <w:r w:rsidRPr="00417DC0">
              <w:rPr>
                <w:rFonts w:ascii="Arial" w:hAnsi="Arial" w:cs="Arial"/>
                <w:sz w:val="16"/>
                <w:szCs w:val="16"/>
              </w:rPr>
              <w:br/>
            </w:r>
            <w:r w:rsidRPr="00417DC0">
              <w:rPr>
                <w:rFonts w:ascii="Arial" w:hAnsi="Arial" w:cs="Arial"/>
                <w:sz w:val="16"/>
                <w:szCs w:val="16"/>
              </w:rPr>
              <w:br/>
              <w:t>Durante el Cuarto(4to) trimestre se realizaron 17  entrenamientos al grupo de Servicio a la Ciudadanía a cerca de los siguientes temas:</w:t>
            </w:r>
            <w:r w:rsidRPr="00417DC0">
              <w:rPr>
                <w:rFonts w:ascii="Arial" w:hAnsi="Arial" w:cs="Arial"/>
                <w:sz w:val="16"/>
                <w:szCs w:val="16"/>
              </w:rPr>
              <w:br/>
              <w:t xml:space="preserve">OCTUBRE Reunion de grupo </w:t>
            </w:r>
            <w:r w:rsidRPr="00417DC0">
              <w:rPr>
                <w:rFonts w:ascii="Arial" w:hAnsi="Arial" w:cs="Arial"/>
                <w:sz w:val="16"/>
                <w:szCs w:val="16"/>
              </w:rPr>
              <w:br/>
              <w:t>OCTUBRE Taller de Trámites</w:t>
            </w:r>
            <w:r w:rsidRPr="00417DC0">
              <w:rPr>
                <w:rFonts w:ascii="Arial" w:hAnsi="Arial" w:cs="Arial"/>
                <w:sz w:val="16"/>
                <w:szCs w:val="16"/>
              </w:rPr>
              <w:br/>
              <w:t>OCTUBRE Taller de tramites</w:t>
            </w:r>
            <w:r w:rsidRPr="00417DC0">
              <w:rPr>
                <w:rFonts w:ascii="Arial" w:hAnsi="Arial" w:cs="Arial"/>
                <w:sz w:val="16"/>
                <w:szCs w:val="16"/>
              </w:rPr>
              <w:br/>
              <w:t>OCTUBRE Taller de tramites</w:t>
            </w:r>
            <w:r w:rsidRPr="00417DC0">
              <w:rPr>
                <w:rFonts w:ascii="Arial" w:hAnsi="Arial" w:cs="Arial"/>
                <w:sz w:val="16"/>
                <w:szCs w:val="16"/>
              </w:rPr>
              <w:br/>
              <w:t>OCTUBRE Digiturno</w:t>
            </w:r>
            <w:r w:rsidRPr="00417DC0">
              <w:rPr>
                <w:rFonts w:ascii="Arial" w:hAnsi="Arial" w:cs="Arial"/>
                <w:sz w:val="16"/>
                <w:szCs w:val="16"/>
              </w:rPr>
              <w:br/>
              <w:t>OCTUBRE Capacitacion PACA, PIGA y PIRE</w:t>
            </w:r>
            <w:r w:rsidRPr="00417DC0">
              <w:rPr>
                <w:rFonts w:ascii="Arial" w:hAnsi="Arial" w:cs="Arial"/>
                <w:sz w:val="16"/>
                <w:szCs w:val="16"/>
              </w:rPr>
              <w:br/>
            </w:r>
            <w:r w:rsidRPr="00417DC0">
              <w:rPr>
                <w:rFonts w:ascii="Arial" w:hAnsi="Arial" w:cs="Arial"/>
                <w:sz w:val="16"/>
                <w:szCs w:val="16"/>
              </w:rPr>
              <w:lastRenderedPageBreak/>
              <w:t xml:space="preserve">OCTUBRE SIG - Auditorias del 3 al 6 de noviembre </w:t>
            </w:r>
            <w:r w:rsidRPr="00417DC0">
              <w:rPr>
                <w:rFonts w:ascii="Arial" w:hAnsi="Arial" w:cs="Arial"/>
                <w:sz w:val="16"/>
                <w:szCs w:val="16"/>
              </w:rPr>
              <w:br/>
              <w:t>OCTUBRE Relacion mes de octubre SIG 2015</w:t>
            </w:r>
            <w:r w:rsidRPr="00417DC0">
              <w:rPr>
                <w:rFonts w:ascii="Arial" w:hAnsi="Arial" w:cs="Arial"/>
                <w:sz w:val="16"/>
                <w:szCs w:val="16"/>
              </w:rPr>
              <w:br/>
              <w:t xml:space="preserve">OCTUBRE Reunion de Grupo </w:t>
            </w:r>
            <w:r w:rsidRPr="00417DC0">
              <w:rPr>
                <w:rFonts w:ascii="Arial" w:hAnsi="Arial" w:cs="Arial"/>
                <w:sz w:val="16"/>
                <w:szCs w:val="16"/>
              </w:rPr>
              <w:br/>
              <w:t>NOVIEMBRE Taller de trámites</w:t>
            </w:r>
            <w:r w:rsidRPr="00417DC0">
              <w:rPr>
                <w:rFonts w:ascii="Arial" w:hAnsi="Arial" w:cs="Arial"/>
                <w:sz w:val="16"/>
                <w:szCs w:val="16"/>
              </w:rPr>
              <w:br/>
              <w:t>NOVIEMBRE Taller de trámites</w:t>
            </w:r>
            <w:r w:rsidRPr="00417DC0">
              <w:rPr>
                <w:rFonts w:ascii="Arial" w:hAnsi="Arial" w:cs="Arial"/>
                <w:sz w:val="16"/>
                <w:szCs w:val="16"/>
              </w:rPr>
              <w:br/>
              <w:t xml:space="preserve">NOVIEMBRE Inscripcion  y Registro de Vertimientos </w:t>
            </w:r>
            <w:r w:rsidRPr="00417DC0">
              <w:rPr>
                <w:rFonts w:ascii="Arial" w:hAnsi="Arial" w:cs="Arial"/>
                <w:sz w:val="16"/>
                <w:szCs w:val="16"/>
              </w:rPr>
              <w:br/>
              <w:t>NOVIEMBRE FOREST- registro de vertimientos</w:t>
            </w:r>
            <w:r w:rsidRPr="00417DC0">
              <w:rPr>
                <w:rFonts w:ascii="Arial" w:hAnsi="Arial" w:cs="Arial"/>
                <w:sz w:val="16"/>
                <w:szCs w:val="16"/>
              </w:rPr>
              <w:br/>
              <w:t>NOVIEMBRE Taller de trámites</w:t>
            </w:r>
            <w:r w:rsidRPr="00417DC0">
              <w:rPr>
                <w:rFonts w:ascii="Arial" w:hAnsi="Arial" w:cs="Arial"/>
                <w:sz w:val="16"/>
                <w:szCs w:val="16"/>
              </w:rPr>
              <w:br/>
              <w:t xml:space="preserve">NOVIEMBRE Taller lenguaje de señas </w:t>
            </w:r>
            <w:r w:rsidRPr="00417DC0">
              <w:rPr>
                <w:rFonts w:ascii="Arial" w:hAnsi="Arial" w:cs="Arial"/>
                <w:sz w:val="16"/>
                <w:szCs w:val="16"/>
              </w:rPr>
              <w:br/>
              <w:t xml:space="preserve">NOVIEMBRE Taller lenguaje de señas </w:t>
            </w:r>
            <w:r w:rsidRPr="00417DC0">
              <w:rPr>
                <w:rFonts w:ascii="Arial" w:hAnsi="Arial" w:cs="Arial"/>
                <w:sz w:val="16"/>
                <w:szCs w:val="16"/>
              </w:rPr>
              <w:br/>
              <w:t xml:space="preserve">NOVIEMBRE Taller lenguaje de señas </w:t>
            </w:r>
            <w:r w:rsidRPr="00417DC0">
              <w:rPr>
                <w:rFonts w:ascii="Arial" w:hAnsi="Arial" w:cs="Arial"/>
                <w:sz w:val="16"/>
                <w:szCs w:val="16"/>
              </w:rPr>
              <w:br/>
              <w:t xml:space="preserve">DICIEMBRE Reunion de Grupo </w:t>
            </w:r>
          </w:p>
        </w:tc>
        <w:tc>
          <w:tcPr>
            <w:tcW w:w="1595" w:type="dxa"/>
            <w:hideMark/>
          </w:tcPr>
          <w:p w:rsidR="00417DC0" w:rsidRPr="00417DC0" w:rsidRDefault="00417DC0" w:rsidP="00417DC0">
            <w:pPr>
              <w:tabs>
                <w:tab w:val="left" w:pos="1550"/>
              </w:tabs>
              <w:spacing w:after="160"/>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Revisión y Verificación del cuarto componente del Plan Anticorrupción "</w:t>
            </w:r>
            <w:r w:rsidRPr="00417DC0">
              <w:rPr>
                <w:rFonts w:ascii="Arial" w:hAnsi="Arial" w:cs="Arial"/>
                <w:i/>
                <w:iCs/>
                <w:sz w:val="16"/>
                <w:szCs w:val="16"/>
              </w:rPr>
              <w:t>Mecanismos para mejorar la Atención Ciudadana"</w:t>
            </w:r>
            <w:r w:rsidRPr="00417DC0">
              <w:rPr>
                <w:rFonts w:ascii="Arial" w:hAnsi="Arial" w:cs="Arial"/>
                <w:sz w:val="16"/>
                <w:szCs w:val="16"/>
              </w:rPr>
              <w:t>.</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trabajo en la imprlementación de la Ley 1712 de 2014, "Por medio de la cual se crea la ley de transparencia y del derecho de acceso a la información pública nacional y se dictan otras disposiciones". En conjunto con la Oficina Asesora de Comunicaciones encargada de la actualización de la información en la página Web. Se entregó el correspondiente reporte a la Oficina de Control Inerno sobre el cumplimento de las acciones adelantadas durante el último periodo de 2015.</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Analisis y Seguimiento a la atención prestada por el canal </w:t>
            </w:r>
            <w:proofErr w:type="gramStart"/>
            <w:r w:rsidRPr="00417DC0">
              <w:rPr>
                <w:rFonts w:ascii="Arial" w:hAnsi="Arial" w:cs="Arial"/>
                <w:sz w:val="16"/>
                <w:szCs w:val="16"/>
              </w:rPr>
              <w:t>telefonico(</w:t>
            </w:r>
            <w:proofErr w:type="gramEnd"/>
            <w:r w:rsidRPr="00417DC0">
              <w:rPr>
                <w:rFonts w:ascii="Arial" w:hAnsi="Arial" w:cs="Arial"/>
                <w:sz w:val="16"/>
                <w:szCs w:val="16"/>
              </w:rPr>
              <w:t>Llamadas transferidas y/o Asesoradas).</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 CANAL TELEFONICO: </w:t>
            </w:r>
            <w:r w:rsidRPr="00417DC0">
              <w:rPr>
                <w:rFonts w:ascii="Arial" w:hAnsi="Arial" w:cs="Arial"/>
                <w:sz w:val="16"/>
                <w:szCs w:val="16"/>
              </w:rPr>
              <w:br/>
            </w:r>
            <w:r w:rsidRPr="00417DC0">
              <w:rPr>
                <w:rFonts w:ascii="Arial" w:hAnsi="Arial" w:cs="Arial"/>
                <w:sz w:val="16"/>
                <w:szCs w:val="16"/>
              </w:rPr>
              <w:br/>
              <w:t xml:space="preserve">Durante el  primer (1o) trimestre del año en curso, por el canal telefónico de la Entidad, se recibieron 5,036  llamadas de las cuales3,351 fueron trasferidas por competencia a las áreas y 1,685 asesoradas en tiempo real informando y orientando a la ciudadanía sobre los trámites misionales y servicios de la Entidad.    </w:t>
            </w:r>
            <w:r w:rsidRPr="00417DC0">
              <w:rPr>
                <w:rFonts w:ascii="Arial" w:hAnsi="Arial" w:cs="Arial"/>
                <w:sz w:val="16"/>
                <w:szCs w:val="16"/>
              </w:rPr>
              <w:br/>
            </w:r>
            <w:r w:rsidRPr="00417DC0">
              <w:rPr>
                <w:rFonts w:ascii="Arial" w:hAnsi="Arial" w:cs="Arial"/>
                <w:sz w:val="16"/>
                <w:szCs w:val="16"/>
              </w:rPr>
              <w:br/>
              <w:t>Durante el Segundo (2do) trimestre se ha venido trabajando en la imprlementación de la Ley 1712 de 2014, "Por medio de la cual se crea la ley de transparencia y del derecho de acceso a la información pública nacional y se dictan otras disposiciones". En conjunto con la Oficina Asesora de Comunicaciones encargada de la actualización de la información en la página Web.</w:t>
            </w:r>
            <w:r w:rsidRPr="00417DC0">
              <w:rPr>
                <w:rFonts w:ascii="Arial" w:hAnsi="Arial" w:cs="Arial"/>
                <w:sz w:val="16"/>
                <w:szCs w:val="16"/>
              </w:rPr>
              <w:br/>
            </w:r>
            <w:r w:rsidRPr="00417DC0">
              <w:rPr>
                <w:rFonts w:ascii="Arial" w:hAnsi="Arial" w:cs="Arial"/>
                <w:sz w:val="16"/>
                <w:szCs w:val="16"/>
              </w:rPr>
              <w:br/>
              <w:t xml:space="preserve">Durante el  Tercer (3ro) trimestre del año en curso, por el canal telefónico de la Entidad, se recibieron 8008 llamadas de las cuales 5565 fueron trasferidas por competencia a las áreas y 2443 asesoradas en tiempo real informando y orientando a la ciudadanía sobre los trámites misionales y servicios de la Entidad.    </w:t>
            </w:r>
            <w:r w:rsidRPr="00417DC0">
              <w:rPr>
                <w:rFonts w:ascii="Arial" w:hAnsi="Arial" w:cs="Arial"/>
                <w:sz w:val="16"/>
                <w:szCs w:val="16"/>
              </w:rPr>
              <w:br/>
            </w:r>
            <w:r w:rsidRPr="00417DC0">
              <w:rPr>
                <w:rFonts w:ascii="Arial" w:hAnsi="Arial" w:cs="Arial"/>
                <w:sz w:val="16"/>
                <w:szCs w:val="16"/>
              </w:rPr>
              <w:br/>
              <w:t xml:space="preserve">Durante el  Cuarto (4to) trimestre del año en curso, por el canal telefónico de la Entidad, se recibieron 7093 llamadas de las cuales 4027 fueron trasferidas por competencia a las áreas y 3066 asesoradas en tiempo real informando y orientando a la ciudadanía sobre los trámites misionales y servicios de la Entidad.   </w:t>
            </w:r>
            <w:r w:rsidRPr="00417DC0">
              <w:rPr>
                <w:rFonts w:ascii="Arial" w:hAnsi="Arial" w:cs="Arial"/>
                <w:sz w:val="16"/>
                <w:szCs w:val="16"/>
              </w:rPr>
              <w:br/>
              <w:t>Se realizó una campaña institucional para el mejoramiento de la atención en el canal telefónico y se efectuó una verficación del impacto a la misma, la cual obtuvo una respuesta positiva de los servidores de la entidad.</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analisis de encuestas para medir la satisfacción ciudadana,  al servicio prestado en los puntos de atención donde hace presencia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Una vez realizado el análisis de las encuestas aplicadas </w:t>
            </w:r>
            <w:r w:rsidRPr="00417DC0">
              <w:rPr>
                <w:rFonts w:ascii="Arial" w:hAnsi="Arial" w:cs="Arial"/>
                <w:sz w:val="16"/>
                <w:szCs w:val="16"/>
              </w:rPr>
              <w:br/>
            </w:r>
            <w:r w:rsidRPr="00417DC0">
              <w:rPr>
                <w:rFonts w:ascii="Arial" w:hAnsi="Arial" w:cs="Arial"/>
                <w:sz w:val="16"/>
                <w:szCs w:val="16"/>
              </w:rPr>
              <w:br/>
              <w:t xml:space="preserve"> durante el primer (1er.)  </w:t>
            </w:r>
            <w:proofErr w:type="gramStart"/>
            <w:r w:rsidRPr="00417DC0">
              <w:rPr>
                <w:rFonts w:ascii="Arial" w:hAnsi="Arial" w:cs="Arial"/>
                <w:sz w:val="16"/>
                <w:szCs w:val="16"/>
              </w:rPr>
              <w:t>trimestre</w:t>
            </w:r>
            <w:proofErr w:type="gramEnd"/>
            <w:r w:rsidRPr="00417DC0">
              <w:rPr>
                <w:rFonts w:ascii="Arial" w:hAnsi="Arial" w:cs="Arial"/>
                <w:sz w:val="16"/>
                <w:szCs w:val="16"/>
              </w:rPr>
              <w:t xml:space="preserve"> de 2015, se evidenció el  siguientes resultado: </w:t>
            </w:r>
            <w:r w:rsidRPr="00417DC0">
              <w:rPr>
                <w:rFonts w:ascii="Arial" w:hAnsi="Arial" w:cs="Arial"/>
                <w:sz w:val="16"/>
                <w:szCs w:val="16"/>
              </w:rPr>
              <w:br/>
            </w:r>
            <w:r w:rsidRPr="00417DC0">
              <w:rPr>
                <w:rFonts w:ascii="Arial" w:hAnsi="Arial" w:cs="Arial"/>
                <w:sz w:val="16"/>
                <w:szCs w:val="16"/>
              </w:rPr>
              <w:br/>
              <w:t xml:space="preserve">De un total de 733 Ciudadanos encuestados durante el primer (1er.)  </w:t>
            </w:r>
            <w:proofErr w:type="gramStart"/>
            <w:r w:rsidRPr="00417DC0">
              <w:rPr>
                <w:rFonts w:ascii="Arial" w:hAnsi="Arial" w:cs="Arial"/>
                <w:sz w:val="16"/>
                <w:szCs w:val="16"/>
              </w:rPr>
              <w:t>trimestre</w:t>
            </w:r>
            <w:proofErr w:type="gramEnd"/>
            <w:r w:rsidRPr="00417DC0">
              <w:rPr>
                <w:rFonts w:ascii="Arial" w:hAnsi="Arial" w:cs="Arial"/>
                <w:sz w:val="16"/>
                <w:szCs w:val="16"/>
              </w:rPr>
              <w:t xml:space="preserve">  del año en curso,  el 60,2 % (441 ciudadanos) dieron la más alta calificación , el 39,2% (287 ciudadanos) se sintieron satisfechos con la atención, el 0,0027% (2 ciudadano) calificaron el servicio como regular , el 0,0027% (2 ciudadano ) onsideraron el servicio como poco satisfactorio y el 0,0013% (1 Ciudadano)  no le gusto el servicio prestado.</w:t>
            </w:r>
            <w:r w:rsidRPr="00417DC0">
              <w:rPr>
                <w:rFonts w:ascii="Arial" w:hAnsi="Arial" w:cs="Arial"/>
                <w:sz w:val="16"/>
                <w:szCs w:val="16"/>
              </w:rPr>
              <w:br/>
              <w:t xml:space="preserve"> </w:t>
            </w:r>
            <w:r w:rsidRPr="00417DC0">
              <w:rPr>
                <w:rFonts w:ascii="Arial" w:hAnsi="Arial" w:cs="Arial"/>
                <w:sz w:val="16"/>
                <w:szCs w:val="16"/>
              </w:rPr>
              <w:br/>
              <w:t xml:space="preserve">En conclusión el 99,4% de los ciudadanos consideran que  la atención recibida fue amable y oportuna por parte de los servidores y que además estos cuentan con un buen nivel de conocimiento ya que fueron entendidas sus necesidades y atendidas todas sus inquietudes en forma clara y precisa. </w:t>
            </w:r>
            <w:r w:rsidRPr="00417DC0">
              <w:rPr>
                <w:rFonts w:ascii="Arial" w:hAnsi="Arial" w:cs="Arial"/>
                <w:sz w:val="16"/>
                <w:szCs w:val="16"/>
              </w:rPr>
              <w:br/>
            </w:r>
            <w:r w:rsidRPr="00417DC0">
              <w:rPr>
                <w:rFonts w:ascii="Arial" w:hAnsi="Arial" w:cs="Arial"/>
                <w:sz w:val="16"/>
                <w:szCs w:val="16"/>
              </w:rPr>
              <w:br/>
              <w:t xml:space="preserve"> </w:t>
            </w:r>
            <w:proofErr w:type="gramStart"/>
            <w:r w:rsidRPr="00417DC0">
              <w:rPr>
                <w:rFonts w:ascii="Arial" w:hAnsi="Arial" w:cs="Arial"/>
                <w:sz w:val="16"/>
                <w:szCs w:val="16"/>
              </w:rPr>
              <w:t>durante</w:t>
            </w:r>
            <w:proofErr w:type="gramEnd"/>
            <w:r w:rsidRPr="00417DC0">
              <w:rPr>
                <w:rFonts w:ascii="Arial" w:hAnsi="Arial" w:cs="Arial"/>
                <w:sz w:val="16"/>
                <w:szCs w:val="16"/>
              </w:rPr>
              <w:t xml:space="preserve"> el Segundo (2do.)  Trimestre de 2015, se evidenció los siguientes resultados: </w:t>
            </w:r>
            <w:r w:rsidRPr="00417DC0">
              <w:rPr>
                <w:rFonts w:ascii="Arial" w:hAnsi="Arial" w:cs="Arial"/>
                <w:sz w:val="16"/>
                <w:szCs w:val="16"/>
              </w:rPr>
              <w:br/>
              <w:t xml:space="preserve">De un total de 1,675 Ciudadanos encuestados durante el Segundo (2do.)  </w:t>
            </w:r>
            <w:proofErr w:type="gramStart"/>
            <w:r w:rsidRPr="00417DC0">
              <w:rPr>
                <w:rFonts w:ascii="Arial" w:hAnsi="Arial" w:cs="Arial"/>
                <w:sz w:val="16"/>
                <w:szCs w:val="16"/>
              </w:rPr>
              <w:t>trimestre</w:t>
            </w:r>
            <w:proofErr w:type="gramEnd"/>
            <w:r w:rsidRPr="00417DC0">
              <w:rPr>
                <w:rFonts w:ascii="Arial" w:hAnsi="Arial" w:cs="Arial"/>
                <w:sz w:val="16"/>
                <w:szCs w:val="16"/>
              </w:rPr>
              <w:t xml:space="preserve">  del año en curso,  el 66,08 % (1,107 ciudadanos) dieron la más alta calificación , el 33,55% (562 ciudadanos) se sintieron satisfechos con la atención, el 0,0023% (4 ciudadanoS) calificaron el servicio como regular  y el 0,0011% (2 Ciudadanos)  no le gusto nada el servicio prestado.</w:t>
            </w:r>
            <w:r w:rsidRPr="00417DC0">
              <w:rPr>
                <w:rFonts w:ascii="Arial" w:hAnsi="Arial" w:cs="Arial"/>
                <w:sz w:val="16"/>
                <w:szCs w:val="16"/>
              </w:rPr>
              <w:br/>
            </w:r>
            <w:r w:rsidRPr="00417DC0">
              <w:rPr>
                <w:rFonts w:ascii="Arial" w:hAnsi="Arial" w:cs="Arial"/>
                <w:sz w:val="16"/>
                <w:szCs w:val="16"/>
              </w:rPr>
              <w:br/>
              <w:t>En conclusión el  99,99% de los ciudadanos consideran que  la atención recibida fue amable y oportuna por parte de los servidores y que además estos cuentan con un buen nivel de conocimiento ya que fueron entendidas sus necesidades y atendidas todas sus inquietudes en forma clara y precisa.</w:t>
            </w:r>
            <w:r w:rsidRPr="00417DC0">
              <w:rPr>
                <w:rFonts w:ascii="Arial" w:hAnsi="Arial" w:cs="Arial"/>
                <w:sz w:val="16"/>
                <w:szCs w:val="16"/>
              </w:rPr>
              <w:br/>
            </w:r>
            <w:r w:rsidRPr="00417DC0">
              <w:rPr>
                <w:rFonts w:ascii="Arial" w:hAnsi="Arial" w:cs="Arial"/>
                <w:sz w:val="16"/>
                <w:szCs w:val="16"/>
              </w:rPr>
              <w:br/>
            </w:r>
            <w:r w:rsidRPr="00417DC0">
              <w:rPr>
                <w:rFonts w:ascii="Arial" w:hAnsi="Arial" w:cs="Arial"/>
                <w:sz w:val="16"/>
                <w:szCs w:val="16"/>
              </w:rPr>
              <w:lastRenderedPageBreak/>
              <w:t xml:space="preserve">Durante el Tercer (3ro.)  Trimestre de 2015, se evidenció los siguientes resultados: </w:t>
            </w:r>
            <w:r w:rsidRPr="00417DC0">
              <w:rPr>
                <w:rFonts w:ascii="Arial" w:hAnsi="Arial" w:cs="Arial"/>
                <w:sz w:val="16"/>
                <w:szCs w:val="16"/>
              </w:rPr>
              <w:br/>
              <w:t xml:space="preserve">De un total de 1,462 Ciudadanos encuestados durante el Tercer (3ro.)  </w:t>
            </w:r>
            <w:proofErr w:type="gramStart"/>
            <w:r w:rsidRPr="00417DC0">
              <w:rPr>
                <w:rFonts w:ascii="Arial" w:hAnsi="Arial" w:cs="Arial"/>
                <w:sz w:val="16"/>
                <w:szCs w:val="16"/>
              </w:rPr>
              <w:t>trimestre</w:t>
            </w:r>
            <w:proofErr w:type="gramEnd"/>
            <w:r w:rsidRPr="00417DC0">
              <w:rPr>
                <w:rFonts w:ascii="Arial" w:hAnsi="Arial" w:cs="Arial"/>
                <w:sz w:val="16"/>
                <w:szCs w:val="16"/>
              </w:rPr>
              <w:t xml:space="preserve">  del año en curso,  el 63,4 % (927 ciudadanos) dieron la más alta calificación , el 36,2% (530 ciudadanos) se sintieron satisfechos con la atención, el 0,27% (4 ciudadanoS) calificaron el servicio como regular  y el 0,068% (1 Ciudadanos)  no le gusto nada el servicio prestado.</w:t>
            </w:r>
            <w:r w:rsidRPr="00417DC0">
              <w:rPr>
                <w:rFonts w:ascii="Arial" w:hAnsi="Arial" w:cs="Arial"/>
                <w:sz w:val="16"/>
                <w:szCs w:val="16"/>
              </w:rPr>
              <w:br/>
            </w:r>
            <w:r w:rsidRPr="00417DC0">
              <w:rPr>
                <w:rFonts w:ascii="Arial" w:hAnsi="Arial" w:cs="Arial"/>
                <w:sz w:val="16"/>
                <w:szCs w:val="16"/>
              </w:rPr>
              <w:br/>
              <w:t>En conclusión el  99,99% de los ciudadanos consideran que  la atención recibida fue amable y oportuna por parte de los servidores y que además estos cuentan con un buen nivel de conocimiento ya que fueron entendidas sus necesidades y atendidas todas sus inquietudes en forma clara y precisa.</w:t>
            </w:r>
            <w:r w:rsidRPr="00417DC0">
              <w:rPr>
                <w:rFonts w:ascii="Arial" w:hAnsi="Arial" w:cs="Arial"/>
                <w:sz w:val="16"/>
                <w:szCs w:val="16"/>
              </w:rPr>
              <w:br/>
            </w:r>
            <w:r w:rsidRPr="00417DC0">
              <w:rPr>
                <w:rFonts w:ascii="Arial" w:hAnsi="Arial" w:cs="Arial"/>
                <w:sz w:val="16"/>
                <w:szCs w:val="16"/>
              </w:rPr>
              <w:br/>
            </w:r>
            <w:proofErr w:type="gramStart"/>
            <w:r w:rsidRPr="00417DC0">
              <w:rPr>
                <w:rFonts w:ascii="Arial" w:hAnsi="Arial" w:cs="Arial"/>
                <w:sz w:val="16"/>
                <w:szCs w:val="16"/>
              </w:rPr>
              <w:t>durante</w:t>
            </w:r>
            <w:proofErr w:type="gramEnd"/>
            <w:r w:rsidRPr="00417DC0">
              <w:rPr>
                <w:rFonts w:ascii="Arial" w:hAnsi="Arial" w:cs="Arial"/>
                <w:sz w:val="16"/>
                <w:szCs w:val="16"/>
              </w:rPr>
              <w:t xml:space="preserve"> el Cuarto (4to.)  Trimestre de 2015, se evidenció los siguientes resultados: </w:t>
            </w:r>
            <w:r w:rsidRPr="00417DC0">
              <w:rPr>
                <w:rFonts w:ascii="Arial" w:hAnsi="Arial" w:cs="Arial"/>
                <w:sz w:val="16"/>
                <w:szCs w:val="16"/>
              </w:rPr>
              <w:br/>
              <w:t xml:space="preserve">De un total de 1314 Ciudadanos encuestados durante el Cuarto (4to.)  </w:t>
            </w:r>
            <w:proofErr w:type="gramStart"/>
            <w:r w:rsidRPr="00417DC0">
              <w:rPr>
                <w:rFonts w:ascii="Arial" w:hAnsi="Arial" w:cs="Arial"/>
                <w:sz w:val="16"/>
                <w:szCs w:val="16"/>
              </w:rPr>
              <w:t>trimestre</w:t>
            </w:r>
            <w:proofErr w:type="gramEnd"/>
            <w:r w:rsidRPr="00417DC0">
              <w:rPr>
                <w:rFonts w:ascii="Arial" w:hAnsi="Arial" w:cs="Arial"/>
                <w:sz w:val="16"/>
                <w:szCs w:val="16"/>
              </w:rPr>
              <w:t xml:space="preserve">  del año en curso,  el 66,2 % (871 ciudadanos) dieron la más alta calificación , el 32,4% (427 ciudadanos) se sintieron satisfechos con la atención, el 0,30% (4 ciudadanos) calificaron el servicio como regular  y el 0,076% (1 Ciudadanos)  no le gusto nada el servicio prestado.</w:t>
            </w:r>
            <w:r w:rsidRPr="00417DC0">
              <w:rPr>
                <w:rFonts w:ascii="Arial" w:hAnsi="Arial" w:cs="Arial"/>
                <w:sz w:val="16"/>
                <w:szCs w:val="16"/>
              </w:rPr>
              <w:br/>
            </w:r>
            <w:r w:rsidRPr="00417DC0">
              <w:rPr>
                <w:rFonts w:ascii="Arial" w:hAnsi="Arial" w:cs="Arial"/>
                <w:sz w:val="16"/>
                <w:szCs w:val="16"/>
              </w:rPr>
              <w:br/>
              <w:t>En conclusión el  99,99% de los ciudadanos consideran que  la atención recibida fue amable y oportuna por parte de los servidores y que además estos cuentan con un buen nivel de conocimiento ya que fueron entendidas sus necesidades y atendidas todas sus inquietudes en forma clara y precisa.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Propender por el cumplimiento de un nivel de infraestructura adecuado y ajustado a la prestación del servicio.</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Durante el 2015 la SDA contó con la infraesctura fisica necesaria para ofrecer un servicio digno, amable y eficiente a la ciudadanía.  Contando con la disponibilidad de una sala de espera dotada de un sistema de turnos que facilita y garantiza la atención en forma ágil y oportuna.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Verificar que la Página Web se encuentre actualizada con la información correspondiente a los diferentes puntos de atención donde hace presencia la Secretaria Distrital de Ambiente.</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Durante el 2015, se verificó la realización de la  respectiva actualización de la atención y horarios de atención en los diferentes puntos de atención de la RED CADE y la Sede Principal de la SDA.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el seguimiento mensual del 100%  de la correspondencia Externa Recibida en lo referente a radicación, escaneo y asociación.</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Durante el primer (1er) trimestre de 2015, se realizo seguimiento a la en lo referente a radicación, escaneo y asociación de 25,055 documentos recibidos a través del procedimiento de Control y Trámite de Correspondencia Externa Recibida. </w:t>
            </w:r>
            <w:r w:rsidRPr="00417DC0">
              <w:rPr>
                <w:rFonts w:ascii="Arial" w:hAnsi="Arial" w:cs="Arial"/>
                <w:sz w:val="16"/>
                <w:szCs w:val="16"/>
              </w:rPr>
              <w:br/>
              <w:t xml:space="preserve">_ De los cuales 3,847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Segundo (2do) trimestre de 2015, se realizo seguimiento a la en la radicación, escaneo y asociación de 28.318 documentos recibidos a través del procedimiento de Control y Trámite de Correspondencia Externa Recibida. </w:t>
            </w:r>
            <w:r w:rsidRPr="00417DC0">
              <w:rPr>
                <w:rFonts w:ascii="Arial" w:hAnsi="Arial" w:cs="Arial"/>
                <w:sz w:val="16"/>
                <w:szCs w:val="16"/>
              </w:rPr>
              <w:br/>
            </w:r>
            <w:r w:rsidRPr="00417DC0">
              <w:rPr>
                <w:rFonts w:ascii="Arial" w:hAnsi="Arial" w:cs="Arial"/>
                <w:sz w:val="16"/>
                <w:szCs w:val="16"/>
              </w:rPr>
              <w:br/>
              <w:t xml:space="preserve">De los cuales 4131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tercer (3ro) trimestre de 2015, se realizo seguimiento a la en la radicación, escaneo y asociación de 31125000 documentos recibidos a través del procedimiento de Control y Trámite de Correspondencia Externa Recibida. </w:t>
            </w:r>
            <w:r w:rsidRPr="00417DC0">
              <w:rPr>
                <w:rFonts w:ascii="Arial" w:hAnsi="Arial" w:cs="Arial"/>
                <w:sz w:val="16"/>
                <w:szCs w:val="16"/>
              </w:rPr>
              <w:br/>
              <w:t xml:space="preserve">De los cuales 4310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Cuarto (4to) trimestre de 2015, se realizo seguimiento a la  radicación, escaneo y asociación de 29782 documentos recibidos a través del procedimiento de Control y Trámite de Correspondencia Externa Recibida. </w:t>
            </w:r>
            <w:r w:rsidRPr="00417DC0">
              <w:rPr>
                <w:rFonts w:ascii="Arial" w:hAnsi="Arial" w:cs="Arial"/>
                <w:sz w:val="16"/>
                <w:szCs w:val="16"/>
              </w:rPr>
              <w:br/>
            </w:r>
            <w:r w:rsidRPr="00417DC0">
              <w:rPr>
                <w:rFonts w:ascii="Arial" w:hAnsi="Arial" w:cs="Arial"/>
                <w:sz w:val="16"/>
                <w:szCs w:val="16"/>
              </w:rPr>
              <w:br/>
              <w:t xml:space="preserve">_ De los cuales 3711 radicados se recibieron por el procedimiento de Quejas y Reclamos los cuales se asignaron a las diferenteas áreas de la Entidad por competencia.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el seguimiento mensual del 100%  de la correspondencia Externa Recibida en lo referente a   clasificación, elaboración de planillas y entrega al interior de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Durante el primer (1er) trimestre de 2015, se realizo seguimiento a la en lo referente a radicación, escaneo y asociación de 25,055 documentos recibidos a través del procedimiento de Control y Trámite de Correspondencia Externa Recibida. </w:t>
            </w:r>
            <w:r w:rsidRPr="00417DC0">
              <w:rPr>
                <w:rFonts w:ascii="Arial" w:hAnsi="Arial" w:cs="Arial"/>
                <w:sz w:val="16"/>
                <w:szCs w:val="16"/>
              </w:rPr>
              <w:br/>
              <w:t xml:space="preserve">_ De los cuales 3,847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Segundo (2do) trimestre de 2015, se realizo seguimiento a la en la radicación, escaneo y asociación de 28.318 documentos recibidos a través del procedimiento de Control y Trámite de Correspondencia Externa Recibida. </w:t>
            </w:r>
            <w:r w:rsidRPr="00417DC0">
              <w:rPr>
                <w:rFonts w:ascii="Arial" w:hAnsi="Arial" w:cs="Arial"/>
                <w:sz w:val="16"/>
                <w:szCs w:val="16"/>
              </w:rPr>
              <w:br/>
            </w:r>
            <w:r w:rsidRPr="00417DC0">
              <w:rPr>
                <w:rFonts w:ascii="Arial" w:hAnsi="Arial" w:cs="Arial"/>
                <w:sz w:val="16"/>
                <w:szCs w:val="16"/>
              </w:rPr>
              <w:br/>
              <w:t xml:space="preserve">De los cuales 4131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tercer (3ro) trimestre de 2015, se realizo seguimiento a la en la radicación, escaneo y asociación de 31125000 documentos recibidos a través del procedimiento de Control y Trámite de Correspondencia Externa Recibida. </w:t>
            </w:r>
            <w:r w:rsidRPr="00417DC0">
              <w:rPr>
                <w:rFonts w:ascii="Arial" w:hAnsi="Arial" w:cs="Arial"/>
                <w:sz w:val="16"/>
                <w:szCs w:val="16"/>
              </w:rPr>
              <w:br/>
              <w:t xml:space="preserve">De los cuales 4310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Cuarto (4to) trimestre de 2015, se realizo seguimiento a la  radicación, escaneo y asociación de 29782 documentos recibidos a través del procedimiento de Control y Trámite de Correspondencia Externa Recibida. </w:t>
            </w:r>
            <w:r w:rsidRPr="00417DC0">
              <w:rPr>
                <w:rFonts w:ascii="Arial" w:hAnsi="Arial" w:cs="Arial"/>
                <w:sz w:val="16"/>
                <w:szCs w:val="16"/>
              </w:rPr>
              <w:br/>
            </w:r>
            <w:r w:rsidRPr="00417DC0">
              <w:rPr>
                <w:rFonts w:ascii="Arial" w:hAnsi="Arial" w:cs="Arial"/>
                <w:sz w:val="16"/>
                <w:szCs w:val="16"/>
              </w:rPr>
              <w:br/>
              <w:t xml:space="preserve">_ De los cuales 3711 radicados se recibieron por el procedimiento de Quejas y Reclamos los cuales se asignaron a las diferenteas áreas de la Entidad por competencia.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el seguimiento mensual del 100%  de la correspondencia Externa Recibida en lo referente entrega al interior de la SDA para el trámite respectivo.</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Durante el primer (1er) trimestre de 2015, se realizo seguimiento a la en lo referente a radicación, escaneo y asociación de 25,055 documentos recibidos a través del procedimiento de Control y Trámite de Correspondencia Externa Recibida. </w:t>
            </w:r>
            <w:r w:rsidRPr="00417DC0">
              <w:rPr>
                <w:rFonts w:ascii="Arial" w:hAnsi="Arial" w:cs="Arial"/>
                <w:sz w:val="16"/>
                <w:szCs w:val="16"/>
              </w:rPr>
              <w:br/>
              <w:t xml:space="preserve">_ De los cuales 3,847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Segundo (2do) trimestre de 2015, se realizo seguimiento a la en la radicación, escaneo y asociación de 28.318 documentos recibidos a través del procedimiento de Control y Trámite de Correspondencia Externa Recibida. </w:t>
            </w:r>
            <w:r w:rsidRPr="00417DC0">
              <w:rPr>
                <w:rFonts w:ascii="Arial" w:hAnsi="Arial" w:cs="Arial"/>
                <w:sz w:val="16"/>
                <w:szCs w:val="16"/>
              </w:rPr>
              <w:br/>
            </w:r>
            <w:r w:rsidRPr="00417DC0">
              <w:rPr>
                <w:rFonts w:ascii="Arial" w:hAnsi="Arial" w:cs="Arial"/>
                <w:sz w:val="16"/>
                <w:szCs w:val="16"/>
              </w:rPr>
              <w:br/>
              <w:t xml:space="preserve">De los cuales 4131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tercer (3ro) trimestre de 2015, se realizo seguimiento a la en la radicación, escaneo y asociación de 31125000 documentos recibidos a través del procedimiento de Control y Trámite de Correspondencia Externa Recibida. </w:t>
            </w:r>
            <w:r w:rsidRPr="00417DC0">
              <w:rPr>
                <w:rFonts w:ascii="Arial" w:hAnsi="Arial" w:cs="Arial"/>
                <w:sz w:val="16"/>
                <w:szCs w:val="16"/>
              </w:rPr>
              <w:br/>
              <w:t xml:space="preserve">De los cuales 4310 radicados se recibieron por el procedimiento de Quejas y Reclamos los cuales se asignaron a las diferenteas áreas de la Entidad por competencia. </w:t>
            </w:r>
            <w:r w:rsidRPr="00417DC0">
              <w:rPr>
                <w:rFonts w:ascii="Arial" w:hAnsi="Arial" w:cs="Arial"/>
                <w:sz w:val="16"/>
                <w:szCs w:val="16"/>
              </w:rPr>
              <w:br/>
            </w:r>
            <w:r w:rsidRPr="00417DC0">
              <w:rPr>
                <w:rFonts w:ascii="Arial" w:hAnsi="Arial" w:cs="Arial"/>
                <w:sz w:val="16"/>
                <w:szCs w:val="16"/>
              </w:rPr>
              <w:br/>
              <w:t xml:space="preserve">Durante el Cuarto (4to) trimestre de 2015, se realizo seguimiento a la  radicación, escaneo y asociación de 29782 documentos recibidos a través del procedimiento de Control y Trámite de Correspondencia Externa Recibida. </w:t>
            </w:r>
            <w:r w:rsidRPr="00417DC0">
              <w:rPr>
                <w:rFonts w:ascii="Arial" w:hAnsi="Arial" w:cs="Arial"/>
                <w:sz w:val="16"/>
                <w:szCs w:val="16"/>
              </w:rPr>
              <w:br/>
            </w:r>
            <w:r w:rsidRPr="00417DC0">
              <w:rPr>
                <w:rFonts w:ascii="Arial" w:hAnsi="Arial" w:cs="Arial"/>
                <w:sz w:val="16"/>
                <w:szCs w:val="16"/>
              </w:rPr>
              <w:br/>
              <w:t xml:space="preserve">_ De los cuales 3711 radicados se recibieron por el procedimiento de Quejas y Reclamos los cuales se asignaron a las diferenteas áreas de la Entidad por competencia.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Realizar el seguimiento y control mensual al 100% de la correspondencia y documentacion impresa Externa Enviada  de la SDA que haya sido entregada y las devoluciones de </w:t>
            </w:r>
            <w:proofErr w:type="gramStart"/>
            <w:r w:rsidRPr="00417DC0">
              <w:rPr>
                <w:rFonts w:ascii="Arial" w:hAnsi="Arial" w:cs="Arial"/>
                <w:sz w:val="16"/>
                <w:szCs w:val="16"/>
              </w:rPr>
              <w:t>las misma</w:t>
            </w:r>
            <w:proofErr w:type="gramEnd"/>
            <w:r w:rsidRPr="00417DC0">
              <w:rPr>
                <w:rFonts w:ascii="Arial" w:hAnsi="Arial" w:cs="Arial"/>
                <w:sz w:val="16"/>
                <w:szCs w:val="16"/>
              </w:rPr>
              <w:t>.</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Durante el primer (1er) trimestre de 2015, se realizo seguimiento a 16,399 documentos impresos para ser entregados a los diferentes destinatarios. De igual forma se le realizo seguimiento a 780 documentos devueltos por dirección errada, dirección incompleta, destinatarios desconocidos etc, correspondientes al 0,04% de la correspondencia enviada por las diferentes áreas para su entrega. Se realizaron llamadas a los diferentes destinatarios de la correspondencia devuelta para confirmar el motivo de ddevolución y tomar los correctivos necesarios.</w:t>
            </w:r>
            <w:r w:rsidRPr="00417DC0">
              <w:rPr>
                <w:rFonts w:ascii="Arial" w:hAnsi="Arial" w:cs="Arial"/>
                <w:sz w:val="16"/>
                <w:szCs w:val="16"/>
              </w:rPr>
              <w:br/>
            </w:r>
            <w:r w:rsidRPr="00417DC0">
              <w:rPr>
                <w:rFonts w:ascii="Arial" w:hAnsi="Arial" w:cs="Arial"/>
                <w:sz w:val="16"/>
                <w:szCs w:val="16"/>
              </w:rPr>
              <w:br/>
              <w:t>Durante el Segundo (2do) trimestre de 2015, se realizo seguimiento a 18375 documentos impresos para ser entregados a los diferentes destinatarios. De igual forma se le realizo seguimiento a 846 documentos devueltos por dirección errada, dirección incompleta, destinatarios desconocidos etc, correspondientes al 0,046% de la correspondencia enviada por las diferentes áreas para su entrega. Se realizaron llamadas a los diferentes destinatarios de la correspondencia devuelta para confirmar el motivo de ddevolución y tomar los correctivos necesarios.</w:t>
            </w:r>
            <w:r w:rsidRPr="00417DC0">
              <w:rPr>
                <w:rFonts w:ascii="Arial" w:hAnsi="Arial" w:cs="Arial"/>
                <w:sz w:val="16"/>
                <w:szCs w:val="16"/>
              </w:rPr>
              <w:br/>
            </w:r>
            <w:r w:rsidRPr="00417DC0">
              <w:rPr>
                <w:rFonts w:ascii="Arial" w:hAnsi="Arial" w:cs="Arial"/>
                <w:sz w:val="16"/>
                <w:szCs w:val="16"/>
              </w:rPr>
              <w:br/>
              <w:t>Durante el tercer (3ro) trimestre de 2015, se realizo seguimiento a 27464 documentos impresos para ser entregados a los diferentes destinatarios. De igual forma se le realizo seguimiento a 2222 documentos devueltos por dirección errada, dirección incompleta, destinatarios desconocidos etc, correspondientes al 0,046% de la correspondencia enviada por las diferentes áreas para su entrega. Se realizaron llamadas a los diferentes destinatarios de la correspondencia devuelta para confirmar el motivo de devolución y tomar los correctivos necesarios.</w:t>
            </w:r>
            <w:r w:rsidRPr="00417DC0">
              <w:rPr>
                <w:rFonts w:ascii="Arial" w:hAnsi="Arial" w:cs="Arial"/>
                <w:sz w:val="16"/>
                <w:szCs w:val="16"/>
              </w:rPr>
              <w:br/>
            </w:r>
            <w:r w:rsidRPr="00417DC0">
              <w:rPr>
                <w:rFonts w:ascii="Arial" w:hAnsi="Arial" w:cs="Arial"/>
                <w:sz w:val="16"/>
                <w:szCs w:val="16"/>
              </w:rPr>
              <w:br/>
              <w:t xml:space="preserve">Durante el Cuarto (4to) trimestre de 2015, se realizo seguimiento a 34124 documentos impresos para ser entregados a los diferentes destinatarios. De igual forma se le realizo seguimiento a 1448 </w:t>
            </w:r>
            <w:r w:rsidRPr="00417DC0">
              <w:rPr>
                <w:rFonts w:ascii="Arial" w:hAnsi="Arial" w:cs="Arial"/>
                <w:sz w:val="16"/>
                <w:szCs w:val="16"/>
              </w:rPr>
              <w:lastRenderedPageBreak/>
              <w:t>documentos devueltos por dirección errada, dirección incompleta, destinatarios desconocidos etc, correspondientes al 4,24% de la correspondencia enviada por las diferentes áreas para su entrega. Se realizaron llamadas a los diferentes destinatarios de la correspondencia devuelta para confirmar el motivo de devolución y tomar los correctivos necesarios.</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Realizar el seguimiento y control mensual al 100% de los documentos físicos que se direccionan al interior de la Entidad. </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Durante el primer (1er) trimestre de 2015, se realizo seguimiento a  16,399 documentos recibidos en la bandeja de reparto para su respectiva impresión, zonificación  y entrega a los diferentes destinatarios a través de la empresa de mensajería.</w:t>
            </w:r>
            <w:r w:rsidRPr="00417DC0">
              <w:rPr>
                <w:rFonts w:ascii="Arial" w:hAnsi="Arial" w:cs="Arial"/>
                <w:sz w:val="16"/>
                <w:szCs w:val="16"/>
              </w:rPr>
              <w:br/>
            </w:r>
            <w:r w:rsidRPr="00417DC0">
              <w:rPr>
                <w:rFonts w:ascii="Arial" w:hAnsi="Arial" w:cs="Arial"/>
                <w:sz w:val="16"/>
                <w:szCs w:val="16"/>
              </w:rPr>
              <w:br/>
              <w:t>Durante el Segundo (2do) trimestre de 2015, se realizo seguimiento a  18375 documentos recibidos en la bandeja de reparto para su respectiva impresión, zonificación  y entrega a los diferentes destinatarios a través de la empresa de mensajería.</w:t>
            </w:r>
            <w:r w:rsidRPr="00417DC0">
              <w:rPr>
                <w:rFonts w:ascii="Arial" w:hAnsi="Arial" w:cs="Arial"/>
                <w:sz w:val="16"/>
                <w:szCs w:val="16"/>
              </w:rPr>
              <w:br/>
            </w:r>
            <w:r w:rsidRPr="00417DC0">
              <w:rPr>
                <w:rFonts w:ascii="Arial" w:hAnsi="Arial" w:cs="Arial"/>
                <w:sz w:val="16"/>
                <w:szCs w:val="16"/>
              </w:rPr>
              <w:br/>
              <w:t>Durante el tercer (3ro) trimestre de 2015, se realizo seguimiento a 27464  documentos recibidos en la bandeja de reparto para su respectiva impresión, zonificación  y entrega a los diferentes destinatarios a través de la empresa de mensajería.</w:t>
            </w:r>
            <w:r w:rsidRPr="00417DC0">
              <w:rPr>
                <w:rFonts w:ascii="Arial" w:hAnsi="Arial" w:cs="Arial"/>
                <w:sz w:val="16"/>
                <w:szCs w:val="16"/>
              </w:rPr>
              <w:br/>
            </w:r>
            <w:r w:rsidRPr="00417DC0">
              <w:rPr>
                <w:rFonts w:ascii="Arial" w:hAnsi="Arial" w:cs="Arial"/>
                <w:sz w:val="16"/>
                <w:szCs w:val="16"/>
              </w:rPr>
              <w:br/>
              <w:t>Durante el cuarto (4to) trimestre de 2015, se realizo seguimiento a 34124  documentos recibidos en la bandeja de reparto para su respectiva impresión, zonificación  y entrega a los diferentes destinatarios a través de la empresa de mensajería.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844</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Incrementar al 92% el nivel de satisfacción ciudadana en la Red CADE</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Atender al 100% de los ciudadanos que solicitan asesoría técnica en los diferentes trámites misionales de la SDA.</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br/>
              <w:t>Durante el primer (1er) trimestre de 2015, el grupo conformado por los profesionales y técnicos que tienen como función, asesorar y orientar a la ciudadanía en los temas misionales que maneja la SDA, atendierón un total de 3,458 ciudadanos en los siguientes temas: el 61% corresponde a la Subdirección de SCAAV, el 33% a la Subdirección de Hidrico y el 6% a Subdirección de Control Ambiental al Sector Público.</w:t>
            </w:r>
            <w:r w:rsidRPr="00417DC0">
              <w:rPr>
                <w:rFonts w:ascii="Arial" w:hAnsi="Arial" w:cs="Arial"/>
                <w:sz w:val="16"/>
                <w:szCs w:val="16"/>
              </w:rPr>
              <w:br/>
            </w:r>
            <w:r w:rsidRPr="00417DC0">
              <w:rPr>
                <w:rFonts w:ascii="Arial" w:hAnsi="Arial" w:cs="Arial"/>
                <w:sz w:val="16"/>
                <w:szCs w:val="16"/>
              </w:rPr>
              <w:br/>
              <w:t xml:space="preserve">Durante el segundo (2o) trimestre de 2015, el grupo conformado por los profesionales y técnicos que tienen como función, asesorar y orientar a la ciudadanía en los temas misionales que maneja la SDA, atendierón un total de 3618  ciudadanos en los siguientes temas: el 30% corresponde a la Subdirección de SCAAV, el 26% a la Subdirección de Hidrico el 19% a Subdirección de Control Ambiental al Sector Público. </w:t>
            </w:r>
            <w:proofErr w:type="gramStart"/>
            <w:r w:rsidRPr="00417DC0">
              <w:rPr>
                <w:rFonts w:ascii="Arial" w:hAnsi="Arial" w:cs="Arial"/>
                <w:sz w:val="16"/>
                <w:szCs w:val="16"/>
              </w:rPr>
              <w:t>y</w:t>
            </w:r>
            <w:proofErr w:type="gramEnd"/>
            <w:r w:rsidRPr="00417DC0">
              <w:rPr>
                <w:rFonts w:ascii="Arial" w:hAnsi="Arial" w:cs="Arial"/>
                <w:sz w:val="16"/>
                <w:szCs w:val="16"/>
              </w:rPr>
              <w:t xml:space="preserve"> el 25% a Subdirección deSilvicultura Flora Y fauna.</w:t>
            </w:r>
            <w:r w:rsidRPr="00417DC0">
              <w:rPr>
                <w:rFonts w:ascii="Arial" w:hAnsi="Arial" w:cs="Arial"/>
                <w:sz w:val="16"/>
                <w:szCs w:val="16"/>
              </w:rPr>
              <w:br/>
            </w:r>
            <w:r w:rsidRPr="00417DC0">
              <w:rPr>
                <w:rFonts w:ascii="Arial" w:hAnsi="Arial" w:cs="Arial"/>
                <w:sz w:val="16"/>
                <w:szCs w:val="16"/>
              </w:rPr>
              <w:br/>
              <w:t xml:space="preserve">Durante el tercer (3o) trimestre de 2015, el grupo conformado por los profesionales y técnicos que tienen como función, asesorar y orientar a la ciudadanía en los temas misionales que maneja la SDA, atendierón un total de 4450  ciudadanos en los siguientes temas: el 23% corresponde a la Subdirección de SCAAV, el 29% a la Subdirección de Hidrico el 24% a Subdirección de Control Ambiental al Sector Público. </w:t>
            </w:r>
            <w:proofErr w:type="gramStart"/>
            <w:r w:rsidRPr="00417DC0">
              <w:rPr>
                <w:rFonts w:ascii="Arial" w:hAnsi="Arial" w:cs="Arial"/>
                <w:sz w:val="16"/>
                <w:szCs w:val="16"/>
              </w:rPr>
              <w:t>y</w:t>
            </w:r>
            <w:proofErr w:type="gramEnd"/>
            <w:r w:rsidRPr="00417DC0">
              <w:rPr>
                <w:rFonts w:ascii="Arial" w:hAnsi="Arial" w:cs="Arial"/>
                <w:sz w:val="16"/>
                <w:szCs w:val="16"/>
              </w:rPr>
              <w:t xml:space="preserve"> el 22% a Subdirección deSilvicultura Flora Y fauna.</w:t>
            </w:r>
            <w:r w:rsidRPr="00417DC0">
              <w:rPr>
                <w:rFonts w:ascii="Arial" w:hAnsi="Arial" w:cs="Arial"/>
                <w:sz w:val="16"/>
                <w:szCs w:val="16"/>
              </w:rPr>
              <w:br/>
            </w:r>
            <w:r w:rsidRPr="00417DC0">
              <w:rPr>
                <w:rFonts w:ascii="Arial" w:hAnsi="Arial" w:cs="Arial"/>
                <w:sz w:val="16"/>
                <w:szCs w:val="16"/>
              </w:rPr>
              <w:br/>
              <w:t xml:space="preserve">Durante el cuarto (4to) trimestre de 2015, el grupo conformado por los profesionales y técnicos que tienen como función, asesorar y orientar a la ciudadanía en los temas misionales que maneja la SDA, atendierón un total de 3425  ciudadanos en los siguientes temas: el 19,3% corresponde a la Subdirección de SCAAV, el 35,4% a la Subdirección de Hidrico; el 18,2% a Subdirección de Control Ambiental al Sector Público. </w:t>
            </w:r>
            <w:proofErr w:type="gramStart"/>
            <w:r w:rsidRPr="00417DC0">
              <w:rPr>
                <w:rFonts w:ascii="Arial" w:hAnsi="Arial" w:cs="Arial"/>
                <w:sz w:val="16"/>
                <w:szCs w:val="16"/>
              </w:rPr>
              <w:t>y</w:t>
            </w:r>
            <w:proofErr w:type="gramEnd"/>
            <w:r w:rsidRPr="00417DC0">
              <w:rPr>
                <w:rFonts w:ascii="Arial" w:hAnsi="Arial" w:cs="Arial"/>
                <w:sz w:val="16"/>
                <w:szCs w:val="16"/>
              </w:rPr>
              <w:t xml:space="preserve"> el 26,9% a Subdirección deSilvicultura Flora Y fauna.</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 xml:space="preserve">611/2015 </w:t>
            </w:r>
            <w:r w:rsidRPr="00417DC0">
              <w:rPr>
                <w:rFonts w:ascii="Arial" w:hAnsi="Arial" w:cs="Arial"/>
                <w:sz w:val="16"/>
                <w:szCs w:val="16"/>
              </w:rPr>
              <w:br/>
              <w:t>739/2015</w:t>
            </w:r>
            <w:r w:rsidRPr="00417DC0">
              <w:rPr>
                <w:rFonts w:ascii="Arial" w:hAnsi="Arial" w:cs="Arial"/>
                <w:sz w:val="16"/>
                <w:szCs w:val="16"/>
              </w:rPr>
              <w:br/>
              <w:t xml:space="preserve"> 130/2015 </w:t>
            </w:r>
            <w:r w:rsidRPr="00417DC0">
              <w:rPr>
                <w:rFonts w:ascii="Arial" w:hAnsi="Arial" w:cs="Arial"/>
                <w:sz w:val="16"/>
                <w:szCs w:val="16"/>
              </w:rPr>
              <w:br/>
              <w:t xml:space="preserve">741/2015 </w:t>
            </w:r>
            <w:r w:rsidRPr="00417DC0">
              <w:rPr>
                <w:rFonts w:ascii="Arial" w:hAnsi="Arial" w:cs="Arial"/>
                <w:sz w:val="16"/>
                <w:szCs w:val="16"/>
              </w:rPr>
              <w:br/>
              <w:t>390/2015</w:t>
            </w:r>
            <w:r w:rsidRPr="00417DC0">
              <w:rPr>
                <w:rFonts w:ascii="Arial" w:hAnsi="Arial" w:cs="Arial"/>
                <w:sz w:val="16"/>
                <w:szCs w:val="16"/>
              </w:rPr>
              <w:br/>
              <w:t xml:space="preserve"> 866/2015 </w:t>
            </w:r>
            <w:r w:rsidRPr="00417DC0">
              <w:rPr>
                <w:rFonts w:ascii="Arial" w:hAnsi="Arial" w:cs="Arial"/>
                <w:sz w:val="16"/>
                <w:szCs w:val="16"/>
              </w:rPr>
              <w:br/>
              <w:t>411/2015</w:t>
            </w:r>
            <w:r w:rsidRPr="00417DC0">
              <w:rPr>
                <w:rFonts w:ascii="Arial" w:hAnsi="Arial" w:cs="Arial"/>
                <w:sz w:val="16"/>
                <w:szCs w:val="16"/>
              </w:rPr>
              <w:br/>
              <w:t xml:space="preserve"> 750/2015 </w:t>
            </w:r>
            <w:r w:rsidRPr="00417DC0">
              <w:rPr>
                <w:rFonts w:ascii="Arial" w:hAnsi="Arial" w:cs="Arial"/>
                <w:sz w:val="16"/>
                <w:szCs w:val="16"/>
              </w:rPr>
              <w:br/>
              <w:t xml:space="preserve">381/2015 </w:t>
            </w:r>
            <w:r w:rsidRPr="00417DC0">
              <w:rPr>
                <w:rFonts w:ascii="Arial" w:hAnsi="Arial" w:cs="Arial"/>
                <w:sz w:val="16"/>
                <w:szCs w:val="16"/>
              </w:rPr>
              <w:br/>
              <w:t>1202/2015</w:t>
            </w:r>
            <w:r w:rsidRPr="00417DC0">
              <w:rPr>
                <w:rFonts w:ascii="Arial" w:hAnsi="Arial" w:cs="Arial"/>
                <w:sz w:val="16"/>
                <w:szCs w:val="16"/>
              </w:rPr>
              <w:br/>
              <w:t xml:space="preserve"> 903/2015</w:t>
            </w:r>
            <w:r w:rsidRPr="00417DC0">
              <w:rPr>
                <w:rFonts w:ascii="Arial" w:hAnsi="Arial" w:cs="Arial"/>
                <w:sz w:val="16"/>
                <w:szCs w:val="16"/>
              </w:rPr>
              <w:br/>
              <w:t xml:space="preserve"> 295/2015</w:t>
            </w:r>
            <w:r w:rsidRPr="00417DC0">
              <w:rPr>
                <w:rFonts w:ascii="Arial" w:hAnsi="Arial" w:cs="Arial"/>
                <w:sz w:val="16"/>
                <w:szCs w:val="16"/>
              </w:rPr>
              <w:br/>
              <w:t xml:space="preserve"> 744/2015</w:t>
            </w:r>
            <w:r w:rsidRPr="00417DC0">
              <w:rPr>
                <w:rFonts w:ascii="Arial" w:hAnsi="Arial" w:cs="Arial"/>
                <w:sz w:val="16"/>
                <w:szCs w:val="16"/>
              </w:rPr>
              <w:br/>
              <w:t xml:space="preserve"> 457/2015</w:t>
            </w:r>
            <w:r w:rsidRPr="00417DC0">
              <w:rPr>
                <w:rFonts w:ascii="Arial" w:hAnsi="Arial" w:cs="Arial"/>
                <w:sz w:val="16"/>
                <w:szCs w:val="16"/>
              </w:rPr>
              <w:br/>
              <w:t xml:space="preserve"> 617/2015</w:t>
            </w:r>
            <w:r w:rsidRPr="00417DC0">
              <w:rPr>
                <w:rFonts w:ascii="Arial" w:hAnsi="Arial" w:cs="Arial"/>
                <w:sz w:val="16"/>
                <w:szCs w:val="16"/>
              </w:rPr>
              <w:br/>
              <w:t xml:space="preserve"> 745/2015</w:t>
            </w:r>
            <w:r w:rsidRPr="00417DC0">
              <w:rPr>
                <w:rFonts w:ascii="Arial" w:hAnsi="Arial" w:cs="Arial"/>
                <w:sz w:val="16"/>
                <w:szCs w:val="16"/>
              </w:rPr>
              <w:br/>
              <w:t xml:space="preserve"> 340/2015</w:t>
            </w:r>
            <w:r w:rsidRPr="00417DC0">
              <w:rPr>
                <w:rFonts w:ascii="Arial" w:hAnsi="Arial" w:cs="Arial"/>
                <w:sz w:val="16"/>
                <w:szCs w:val="16"/>
              </w:rPr>
              <w:br/>
              <w:t xml:space="preserve"> 629/2015</w:t>
            </w:r>
            <w:r w:rsidRPr="00417DC0">
              <w:rPr>
                <w:rFonts w:ascii="Arial" w:hAnsi="Arial" w:cs="Arial"/>
                <w:sz w:val="16"/>
                <w:szCs w:val="16"/>
              </w:rPr>
              <w:br/>
              <w:t xml:space="preserve"> 742/2015</w:t>
            </w:r>
            <w:r w:rsidRPr="00417DC0">
              <w:rPr>
                <w:rFonts w:ascii="Arial" w:hAnsi="Arial" w:cs="Arial"/>
                <w:sz w:val="16"/>
                <w:szCs w:val="16"/>
              </w:rPr>
              <w:br/>
              <w:t xml:space="preserve"> 816/2015</w:t>
            </w:r>
            <w:r w:rsidRPr="00417DC0">
              <w:rPr>
                <w:rFonts w:ascii="Arial" w:hAnsi="Arial" w:cs="Arial"/>
                <w:sz w:val="16"/>
                <w:szCs w:val="16"/>
              </w:rPr>
              <w:br/>
              <w:t xml:space="preserve"> 740/2015</w:t>
            </w:r>
            <w:r w:rsidRPr="00417DC0">
              <w:rPr>
                <w:rFonts w:ascii="Arial" w:hAnsi="Arial" w:cs="Arial"/>
                <w:sz w:val="16"/>
                <w:szCs w:val="16"/>
              </w:rPr>
              <w:br/>
              <w:t xml:space="preserve"> 911/2015</w:t>
            </w:r>
            <w:r w:rsidRPr="00417DC0">
              <w:rPr>
                <w:rFonts w:ascii="Arial" w:hAnsi="Arial" w:cs="Arial"/>
                <w:sz w:val="16"/>
                <w:szCs w:val="16"/>
              </w:rPr>
              <w:br/>
              <w:t xml:space="preserve"> 895/2015</w:t>
            </w:r>
            <w:r w:rsidRPr="00417DC0">
              <w:rPr>
                <w:rFonts w:ascii="Arial" w:hAnsi="Arial" w:cs="Arial"/>
                <w:sz w:val="16"/>
                <w:szCs w:val="16"/>
              </w:rPr>
              <w:br/>
              <w:t xml:space="preserve"> 929/2015</w:t>
            </w:r>
            <w:r w:rsidRPr="00417DC0">
              <w:rPr>
                <w:rFonts w:ascii="Arial" w:hAnsi="Arial" w:cs="Arial"/>
                <w:sz w:val="16"/>
                <w:szCs w:val="16"/>
              </w:rPr>
              <w:br/>
              <w:t xml:space="preserve"> 914/2015</w:t>
            </w:r>
            <w:r w:rsidRPr="00417DC0">
              <w:rPr>
                <w:rFonts w:ascii="Arial" w:hAnsi="Arial" w:cs="Arial"/>
                <w:sz w:val="16"/>
                <w:szCs w:val="16"/>
              </w:rPr>
              <w:br/>
              <w:t xml:space="preserve"> 915/2015</w:t>
            </w:r>
            <w:r w:rsidRPr="00417DC0">
              <w:rPr>
                <w:rFonts w:ascii="Arial" w:hAnsi="Arial" w:cs="Arial"/>
                <w:sz w:val="16"/>
                <w:szCs w:val="16"/>
              </w:rPr>
              <w:br/>
              <w:t xml:space="preserve"> 918/2015</w:t>
            </w:r>
            <w:r w:rsidRPr="00417DC0">
              <w:rPr>
                <w:rFonts w:ascii="Arial" w:hAnsi="Arial" w:cs="Arial"/>
                <w:sz w:val="16"/>
                <w:szCs w:val="16"/>
              </w:rPr>
              <w:br/>
              <w:t xml:space="preserve"> 917/2015</w:t>
            </w:r>
            <w:r w:rsidRPr="00417DC0">
              <w:rPr>
                <w:rFonts w:ascii="Arial" w:hAnsi="Arial" w:cs="Arial"/>
                <w:sz w:val="16"/>
                <w:szCs w:val="16"/>
              </w:rPr>
              <w:br/>
              <w:t xml:space="preserve"> 937/2015</w:t>
            </w:r>
            <w:r w:rsidRPr="00417DC0">
              <w:rPr>
                <w:rFonts w:ascii="Arial" w:hAnsi="Arial" w:cs="Arial"/>
                <w:sz w:val="16"/>
                <w:szCs w:val="16"/>
              </w:rPr>
              <w:br/>
              <w:t xml:space="preserve"> 920/2015 </w:t>
            </w:r>
            <w:r w:rsidRPr="00417DC0">
              <w:rPr>
                <w:rFonts w:ascii="Arial" w:hAnsi="Arial" w:cs="Arial"/>
                <w:sz w:val="16"/>
                <w:szCs w:val="16"/>
              </w:rPr>
              <w:br/>
              <w:t>923/2015</w:t>
            </w:r>
            <w:r w:rsidRPr="00417DC0">
              <w:rPr>
                <w:rFonts w:ascii="Arial" w:hAnsi="Arial" w:cs="Arial"/>
                <w:sz w:val="16"/>
                <w:szCs w:val="16"/>
              </w:rPr>
              <w:br/>
              <w:t xml:space="preserve"> 989/2015 </w:t>
            </w:r>
            <w:r w:rsidRPr="00417DC0">
              <w:rPr>
                <w:rFonts w:ascii="Arial" w:hAnsi="Arial" w:cs="Arial"/>
                <w:sz w:val="16"/>
                <w:szCs w:val="16"/>
              </w:rPr>
              <w:br/>
              <w:t>1006/2015</w:t>
            </w:r>
            <w:r w:rsidRPr="00417DC0">
              <w:rPr>
                <w:rFonts w:ascii="Arial" w:hAnsi="Arial" w:cs="Arial"/>
                <w:sz w:val="16"/>
                <w:szCs w:val="16"/>
              </w:rPr>
              <w:br/>
              <w:t xml:space="preserve"> 1248/2015 </w:t>
            </w:r>
            <w:r w:rsidRPr="00417DC0">
              <w:rPr>
                <w:rFonts w:ascii="Arial" w:hAnsi="Arial" w:cs="Arial"/>
                <w:sz w:val="16"/>
                <w:szCs w:val="16"/>
              </w:rPr>
              <w:br/>
              <w:t xml:space="preserve">1247/2015 </w:t>
            </w:r>
            <w:r w:rsidRPr="00417DC0">
              <w:rPr>
                <w:rFonts w:ascii="Arial" w:hAnsi="Arial" w:cs="Arial"/>
                <w:sz w:val="16"/>
                <w:szCs w:val="16"/>
              </w:rPr>
              <w:br/>
              <w:t xml:space="preserve">1246/2015 </w:t>
            </w:r>
            <w:r w:rsidRPr="00417DC0">
              <w:rPr>
                <w:rFonts w:ascii="Arial" w:hAnsi="Arial" w:cs="Arial"/>
                <w:sz w:val="16"/>
                <w:szCs w:val="16"/>
              </w:rPr>
              <w:br/>
              <w:t xml:space="preserve">256/2015 </w:t>
            </w:r>
            <w:r w:rsidRPr="00417DC0">
              <w:rPr>
                <w:rFonts w:ascii="Arial" w:hAnsi="Arial" w:cs="Arial"/>
                <w:sz w:val="16"/>
                <w:szCs w:val="16"/>
              </w:rPr>
              <w:br/>
              <w:t xml:space="preserve">341/2015 </w:t>
            </w:r>
            <w:r w:rsidRPr="00417DC0">
              <w:rPr>
                <w:rFonts w:ascii="Arial" w:hAnsi="Arial" w:cs="Arial"/>
                <w:sz w:val="16"/>
                <w:szCs w:val="16"/>
              </w:rPr>
              <w:br/>
              <w:t xml:space="preserve">386/2015 </w:t>
            </w:r>
            <w:r w:rsidRPr="00417DC0">
              <w:rPr>
                <w:rFonts w:ascii="Arial" w:hAnsi="Arial" w:cs="Arial"/>
                <w:sz w:val="16"/>
                <w:szCs w:val="16"/>
              </w:rPr>
              <w:br/>
              <w:t xml:space="preserve">1013/2015 </w:t>
            </w:r>
            <w:r w:rsidRPr="00417DC0">
              <w:rPr>
                <w:rFonts w:ascii="Arial" w:hAnsi="Arial" w:cs="Arial"/>
                <w:sz w:val="16"/>
                <w:szCs w:val="16"/>
              </w:rPr>
              <w:br/>
              <w:t xml:space="preserve">1443/2015 </w:t>
            </w:r>
            <w:r w:rsidRPr="00417DC0">
              <w:rPr>
                <w:rFonts w:ascii="Arial" w:hAnsi="Arial" w:cs="Arial"/>
                <w:sz w:val="16"/>
                <w:szCs w:val="16"/>
              </w:rPr>
              <w:br/>
              <w:t xml:space="preserve">1444/2015 </w:t>
            </w:r>
            <w:r w:rsidRPr="00417DC0">
              <w:rPr>
                <w:rFonts w:ascii="Arial" w:hAnsi="Arial" w:cs="Arial"/>
                <w:sz w:val="16"/>
                <w:szCs w:val="16"/>
              </w:rPr>
              <w:br/>
              <w:t xml:space="preserve">1383/2015 </w:t>
            </w:r>
            <w:r w:rsidRPr="00417DC0">
              <w:rPr>
                <w:rFonts w:ascii="Arial" w:hAnsi="Arial" w:cs="Arial"/>
                <w:sz w:val="16"/>
                <w:szCs w:val="16"/>
              </w:rPr>
              <w:br/>
            </w:r>
            <w:r w:rsidRPr="00417DC0">
              <w:rPr>
                <w:rFonts w:ascii="Arial" w:hAnsi="Arial" w:cs="Arial"/>
                <w:sz w:val="16"/>
                <w:szCs w:val="16"/>
              </w:rPr>
              <w:lastRenderedPageBreak/>
              <w:t>945/2015</w:t>
            </w:r>
            <w:r w:rsidRPr="00417DC0">
              <w:rPr>
                <w:rFonts w:ascii="Arial" w:hAnsi="Arial" w:cs="Arial"/>
                <w:sz w:val="16"/>
                <w:szCs w:val="16"/>
              </w:rPr>
              <w:br/>
              <w:t>1436/2015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Esta actividad representa la puerta de ingreso y/lo el medio para acceder a los servicios de la SDA por lo que representa la preparación de la entidad para tender oportunay eficazmente al ciudadano.  Esta directamente relacionada con la capacidad institucional y la corresponsabilidad con los ciudadanos.</w:t>
            </w:r>
          </w:p>
        </w:tc>
      </w:tr>
      <w:tr w:rsidR="00417DC0" w:rsidRPr="00417DC0" w:rsidTr="00417DC0">
        <w:trPr>
          <w:trHeight w:val="8190"/>
        </w:trPr>
        <w:tc>
          <w:tcPr>
            <w:tcW w:w="111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lastRenderedPageBreak/>
              <w:t>956</w:t>
            </w:r>
          </w:p>
        </w:tc>
        <w:tc>
          <w:tcPr>
            <w:tcW w:w="1284"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Implementar 32 procesos (por sector y localidad) de control social y de veeduría especializada en movilidad, salud, educación, cultura, ambiente, hábitat, gobiernos locales, integración social, discapacidad, economía popular, productividad y competitividad, recolección de basuras</w:t>
            </w:r>
          </w:p>
        </w:tc>
        <w:tc>
          <w:tcPr>
            <w:tcW w:w="241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Realizar un proceso participativo de rendición de cuentas que involucre a ciudadanos de las 20 localidades del distrito</w:t>
            </w:r>
          </w:p>
        </w:tc>
        <w:tc>
          <w:tcPr>
            <w:tcW w:w="3791"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Se llevaron a cabo los talleres organizados por la Subsecretaría General y de Control Disciplinario para realizar una reflexión de la ética de lo público. En estos talleres participaron DPSIA, DCA, DGC, DGA y todas las subdirecciones vinculadas a estas dependencias. Como resultado de los talleres cada dependencia contó con un documento de trabajo con insumos para la definición de sus principios de acción. Esta fue la base principal para la actividad mural ética realizada en el marco de la semana de la ética.</w:t>
            </w:r>
            <w:r w:rsidRPr="00417DC0">
              <w:rPr>
                <w:rFonts w:ascii="Arial" w:hAnsi="Arial" w:cs="Arial"/>
                <w:sz w:val="16"/>
                <w:szCs w:val="16"/>
              </w:rPr>
              <w:br/>
              <w:t xml:space="preserve">Se realizaron los talleres para fortalecer las competencias de los servidores y contribuir a las prácticas asociadas a la transparencia y la probidad en la Secretaría Distrital de Ambiente. Los resultados de las evaluaciones aplicadas a los participantes fueron muy positivos. Se destaca que el 84% de los participantes manifestó la pertinencia de los temas y más del 90% el desempeño del tallerista.  </w:t>
            </w:r>
            <w:r w:rsidRPr="00417DC0">
              <w:rPr>
                <w:rFonts w:ascii="Arial" w:hAnsi="Arial" w:cs="Arial"/>
                <w:sz w:val="16"/>
                <w:szCs w:val="16"/>
              </w:rPr>
              <w:br/>
              <w:t xml:space="preserve">También se llevó a cabo la semana de la ética organizada en conjunto entre la Subsecretaría General y de Control Disciplinario y los gestores de ética de la entidad. Dentro de las actividades realizadas se encuentran: el concurso de fotografía Lente ético,  la actividad Muralética mediante la cual las áreas realizaron una muestra artística de sus principios de acción en relación con la ética de lo público, el concurso  virtual Conocimientos Éticos y el Cine club ético con la película La Ley de Herodes. Se llevó a cabo la instalación y el cierre de la semana de la ética con la participación de la alta dirección y la entrega de reconocimientos a las personas y áreas por su participación en las actividades programadas. </w:t>
            </w:r>
          </w:p>
        </w:tc>
        <w:tc>
          <w:tcPr>
            <w:tcW w:w="1595"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Socialización y Corresponsabilidad</w:t>
            </w:r>
          </w:p>
        </w:tc>
        <w:tc>
          <w:tcPr>
            <w:tcW w:w="2127"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Fortalecimiento Institucional</w:t>
            </w:r>
          </w:p>
        </w:tc>
        <w:tc>
          <w:tcPr>
            <w:tcW w:w="1984" w:type="dxa"/>
            <w:noWrap/>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1356/2015</w:t>
            </w:r>
          </w:p>
        </w:tc>
        <w:tc>
          <w:tcPr>
            <w:tcW w:w="3402" w:type="dxa"/>
            <w:hideMark/>
          </w:tcPr>
          <w:p w:rsidR="00417DC0" w:rsidRPr="00417DC0" w:rsidRDefault="00417DC0" w:rsidP="00417DC0">
            <w:pPr>
              <w:tabs>
                <w:tab w:val="left" w:pos="1550"/>
              </w:tabs>
              <w:jc w:val="both"/>
              <w:rPr>
                <w:rFonts w:ascii="Arial" w:hAnsi="Arial" w:cs="Arial"/>
                <w:sz w:val="16"/>
                <w:szCs w:val="16"/>
              </w:rPr>
            </w:pPr>
            <w:r w:rsidRPr="00417DC0">
              <w:rPr>
                <w:rFonts w:ascii="Arial" w:hAnsi="Arial" w:cs="Arial"/>
                <w:sz w:val="16"/>
                <w:szCs w:val="16"/>
              </w:rPr>
              <w:t>Esta actividad nace presizamente de la posibilidad además de ser una obligación de que los ciudadnos accedan a la gestión realizad en respuesta a los requerimientos de la comunidad, asi como la imgen que hacia el exterior ha proyectado la SDA.</w:t>
            </w:r>
          </w:p>
        </w:tc>
      </w:tr>
    </w:tbl>
    <w:p w:rsidR="00352A7F" w:rsidRDefault="00417DC0" w:rsidP="00417DC0">
      <w:pPr>
        <w:rPr>
          <w:rFonts w:ascii="Arial" w:hAnsi="Arial" w:cs="Arial"/>
        </w:rPr>
      </w:pPr>
      <w:r>
        <w:rPr>
          <w:rFonts w:ascii="Arial" w:hAnsi="Arial" w:cs="Arial"/>
        </w:rPr>
        <w:lastRenderedPageBreak/>
        <w:tab/>
      </w:r>
    </w:p>
    <w:tbl>
      <w:tblPr>
        <w:tblStyle w:val="Tablaconcuadrcula"/>
        <w:tblW w:w="0" w:type="auto"/>
        <w:tblLook w:val="04A0" w:firstRow="1" w:lastRow="0" w:firstColumn="1" w:lastColumn="0" w:noHBand="0" w:noVBand="1"/>
      </w:tblPr>
      <w:tblGrid>
        <w:gridCol w:w="1221"/>
        <w:gridCol w:w="1337"/>
        <w:gridCol w:w="1942"/>
        <w:gridCol w:w="4851"/>
        <w:gridCol w:w="1701"/>
        <w:gridCol w:w="1559"/>
        <w:gridCol w:w="1669"/>
        <w:gridCol w:w="3480"/>
      </w:tblGrid>
      <w:tr w:rsidR="009278EC" w:rsidRPr="009278EC" w:rsidTr="009278EC">
        <w:trPr>
          <w:trHeight w:val="695"/>
          <w:tblHeader/>
        </w:trPr>
        <w:tc>
          <w:tcPr>
            <w:tcW w:w="17760" w:type="dxa"/>
            <w:gridSpan w:val="8"/>
            <w:shd w:val="clear" w:color="auto" w:fill="BDD6EE" w:themeFill="accent1" w:themeFillTint="66"/>
            <w:vAlign w:val="center"/>
          </w:tcPr>
          <w:p w:rsidR="009278EC" w:rsidRPr="009278EC" w:rsidRDefault="000819FE" w:rsidP="009278EC">
            <w:pPr>
              <w:jc w:val="center"/>
              <w:rPr>
                <w:rFonts w:ascii="Arial" w:hAnsi="Arial" w:cs="Arial"/>
                <w:b/>
                <w:bCs/>
                <w:sz w:val="16"/>
                <w:szCs w:val="16"/>
              </w:rPr>
            </w:pPr>
            <w:r>
              <w:rPr>
                <w:rFonts w:ascii="Arial" w:hAnsi="Arial" w:cs="Arial"/>
                <w:sz w:val="28"/>
              </w:rPr>
              <w:t>821. Fortalecimiento de l</w:t>
            </w:r>
            <w:r w:rsidR="009278EC" w:rsidRPr="009278EC">
              <w:rPr>
                <w:rFonts w:ascii="Arial" w:hAnsi="Arial" w:cs="Arial"/>
                <w:sz w:val="28"/>
              </w:rPr>
              <w:t>a Gestión Ambiental Para La Restauración, Conservación, Manejo Y Uso Sostenible De Los Ecosistemas Urbanos Y De Las Áreas Rurales Del Distrito Capital.</w:t>
            </w:r>
          </w:p>
        </w:tc>
      </w:tr>
      <w:tr w:rsidR="009278EC" w:rsidRPr="009278EC" w:rsidTr="009278EC">
        <w:trPr>
          <w:trHeight w:val="1695"/>
          <w:tblHeader/>
        </w:trPr>
        <w:tc>
          <w:tcPr>
            <w:tcW w:w="1221"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PROYECTOS DE INVERSION</w:t>
            </w:r>
          </w:p>
        </w:tc>
        <w:tc>
          <w:tcPr>
            <w:tcW w:w="1337"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META PACA</w:t>
            </w:r>
          </w:p>
        </w:tc>
        <w:tc>
          <w:tcPr>
            <w:tcW w:w="1942"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ACTIVIDADES PROGRAMADAS</w:t>
            </w:r>
          </w:p>
        </w:tc>
        <w:tc>
          <w:tcPr>
            <w:tcW w:w="4851"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ACTIVIDADES EJECUTADAS</w:t>
            </w:r>
          </w:p>
        </w:tc>
        <w:tc>
          <w:tcPr>
            <w:tcW w:w="1701"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OBJETIVO PGA</w:t>
            </w:r>
          </w:p>
        </w:tc>
        <w:tc>
          <w:tcPr>
            <w:tcW w:w="1559"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ESTRATEGIA PGA</w:t>
            </w:r>
          </w:p>
        </w:tc>
        <w:tc>
          <w:tcPr>
            <w:tcW w:w="1669"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CONTRATOS MEDIANTE LOS CUALES SE EJECUTÒ LA ACTIVIDAD</w:t>
            </w:r>
          </w:p>
        </w:tc>
        <w:tc>
          <w:tcPr>
            <w:tcW w:w="3480" w:type="dxa"/>
            <w:shd w:val="clear" w:color="auto" w:fill="BDD6EE" w:themeFill="accent1" w:themeFillTint="66"/>
            <w:vAlign w:val="center"/>
          </w:tcPr>
          <w:p w:rsidR="009278EC" w:rsidRPr="009278EC" w:rsidRDefault="009278EC" w:rsidP="009278EC">
            <w:pPr>
              <w:jc w:val="both"/>
              <w:rPr>
                <w:rFonts w:ascii="Arial" w:hAnsi="Arial" w:cs="Arial"/>
                <w:b/>
                <w:bCs/>
                <w:sz w:val="16"/>
                <w:szCs w:val="16"/>
              </w:rPr>
            </w:pPr>
            <w:r w:rsidRPr="009278EC">
              <w:rPr>
                <w:rFonts w:ascii="Arial" w:hAnsi="Arial" w:cs="Arial"/>
                <w:b/>
                <w:bCs/>
                <w:sz w:val="16"/>
                <w:szCs w:val="16"/>
              </w:rPr>
              <w:t>COHERENCIA Y CONCORDANCIA QUE GUARDA CADA ACTIVIDAD CON LOS OBJETIVOS Y ESTRATEGIAS DEL PLAN DE GESTIÓN AMBIENTAL DEL DISTRITO CAPITAL, QUE SIRVIERON DE JUSTIFICACIÓN PARA SU INCORPORACIÓN DENTRO DE PLAN DE ACCIÓN CUATRIENAL AMBIENTAL-PACA</w:t>
            </w:r>
          </w:p>
        </w:tc>
      </w:tr>
      <w:tr w:rsidR="009278EC" w:rsidRPr="009278EC" w:rsidTr="009278EC">
        <w:trPr>
          <w:trHeight w:val="1230"/>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821</w:t>
            </w:r>
          </w:p>
        </w:tc>
        <w:tc>
          <w:tcPr>
            <w:tcW w:w="1337"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Recuperación ecológica y paisajística de 57 Km. de rondas y ZMPA de las microcuencas de los ríos Fucha, Salitre, Tunjuelo y Torca</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Supervisar y apoyar  la gestión  de adquisición de predios por parte de la EAAB en el marco del convenio 030 del 2009, en el PEDH Capellanía</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En el marco de éste Convenio, se realizaron los comités de seguimiento: </w:t>
            </w:r>
            <w:r w:rsidRPr="009278EC">
              <w:rPr>
                <w:rFonts w:ascii="Arial" w:hAnsi="Arial" w:cs="Arial"/>
                <w:sz w:val="16"/>
                <w:szCs w:val="16"/>
              </w:rPr>
              <w:br/>
              <w:t>Comités de seguimiento números 34 y 35 del 29 de enero y 19 de marzo de 2015, en el cual se determinó como compromisos por parte de la EAB, la designación de un profesional técnico y jurídico permanente y exclusivo, un informe detallado del proceso de cada predio y la problemática técnica (áreas de cesión) jurídica (procedimiento a realizar) como un plan y cronograma de trabajo que permita finiquitar el convenio en el marco de la presente anualidad. Se remitieron las respectivas comunicaciones al EAB, en ejercicio de la supervisión, solicitando la información técnica y jurídica del proceso de adquisición del humedal Capellanía.</w:t>
            </w:r>
            <w:r w:rsidRPr="009278EC">
              <w:rPr>
                <w:rFonts w:ascii="Arial" w:hAnsi="Arial" w:cs="Arial"/>
                <w:sz w:val="16"/>
                <w:szCs w:val="16"/>
              </w:rPr>
              <w:br/>
              <w:t xml:space="preserve">Comités de seguimiento números 38, 39, 40, 41, 42, 43 y 44 del 25 de junio, del 22 de julio, del 29 de julio, del 05 de agosto, del 12 de agosto, del 20 de agosto y del 01 de septiembre de 2015, donde la EAB informó que se emitió la respectiva Resolución de Expropiación y se realizó el pago mediante depósito judicial en los términos establecidos en la Ley 388 de 1997, de los predios 12 y 24. Igualmente para los predios identificados con los números 13, 18, 19, 20 y 21 se proyectó el respectivo acto administrativo de Expropiación, el cual se encuentra en notificación. </w:t>
            </w:r>
            <w:r w:rsidRPr="009278EC">
              <w:rPr>
                <w:rFonts w:ascii="Arial" w:hAnsi="Arial" w:cs="Arial"/>
                <w:sz w:val="16"/>
                <w:szCs w:val="16"/>
              </w:rPr>
              <w:br/>
              <w:t xml:space="preserve">Comités de seguimiento números 45, 46, 47 y 48 del 18, 29 de septiembre, 29 de octubre  y 6 de noviembre de 2015, donde la EAB informó que se recibió el inmueble del predio 24 y se realizó la inscripción de la Resolución de Expropiación y la solicitud de la entrega al propietario del predio 12. Igualmente para los predios identificados con los números 13, 18, 19, 20 y 21, se proyectó el </w:t>
            </w:r>
            <w:r w:rsidRPr="009278EC">
              <w:rPr>
                <w:rFonts w:ascii="Arial" w:hAnsi="Arial" w:cs="Arial"/>
                <w:sz w:val="16"/>
                <w:szCs w:val="16"/>
              </w:rPr>
              <w:lastRenderedPageBreak/>
              <w:t>respectivo acto administrativo de Expropiación, se encuentra en proceso de notificación determinada en el Código Contencioso Administrativo.</w:t>
            </w:r>
          </w:p>
        </w:tc>
        <w:tc>
          <w:tcPr>
            <w:tcW w:w="170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Conservación y Adecuado Manejo de la Fauna y la Flora</w:t>
            </w:r>
          </w:p>
        </w:tc>
        <w:tc>
          <w:tcPr>
            <w:tcW w:w="1559"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br/>
              <w:t>1. 768/2015</w:t>
            </w:r>
            <w:r w:rsidRPr="009278EC">
              <w:rPr>
                <w:rFonts w:ascii="Arial" w:hAnsi="Arial" w:cs="Arial"/>
                <w:sz w:val="16"/>
                <w:szCs w:val="16"/>
              </w:rPr>
              <w:br/>
              <w:t>2. 961/2015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es coherente con el objetivo "Conservación y Adecuado Manejo de la Fauna y la Flora"  y con la estrategia "Manejo Físico y Ecourbanismo" dado que permite adelantar acciones para  la protección y restauración de ecosistemas estratégicos, la conectividad ecológica y el manejo integral del </w:t>
            </w:r>
            <w:proofErr w:type="gramStart"/>
            <w:r w:rsidRPr="009278EC">
              <w:rPr>
                <w:rFonts w:ascii="Arial" w:hAnsi="Arial" w:cs="Arial"/>
                <w:sz w:val="16"/>
                <w:szCs w:val="16"/>
              </w:rPr>
              <w:t>riesgo .</w:t>
            </w:r>
            <w:proofErr w:type="gramEnd"/>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 Desarrollar la recuperación integral de quebrada (diagnosticos biofisico-social, gestión social, diseños, intervencion) en las Subcuencas de Torca, Salitre, Tunjuelo y Fucha.</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La SDA consolida un proceso de recuperación integral en quebradas de las Subcuencas Torca, Salitre, Fucha y Tunjuelo, que implicó realizar el diagnóstico socioambiental en 232,46 ha, diseños paisajísticos para 17,80 km y  62,45 ha y recuperación en zonas de ZMPA y ronda  en 31,64 km equivalentes a 95,07 ha con la siembra de 14.596 individuos, en los siguientes sitios:</w:t>
            </w:r>
            <w:r w:rsidRPr="009278EC">
              <w:rPr>
                <w:rFonts w:ascii="Arial" w:hAnsi="Arial" w:cs="Arial"/>
                <w:sz w:val="16"/>
                <w:szCs w:val="16"/>
              </w:rPr>
              <w:br/>
              <w:t>Subcuenca Torca</w:t>
            </w:r>
            <w:r w:rsidRPr="009278EC">
              <w:rPr>
                <w:rFonts w:ascii="Arial" w:hAnsi="Arial" w:cs="Arial"/>
                <w:sz w:val="16"/>
                <w:szCs w:val="16"/>
              </w:rPr>
              <w:br/>
              <w:t>En la Subcuenca Torca se intervino integralmente en un total de 3,02 km equivalente a 5,71 ha con la siembra de 1097 individuos vegetales  distribuidas de la siguiente manera: Quebrada San Juan 1,1 km equivalente a 0,31 ha y en la quebrada Aguas Calientes 1,92 km equivalentes a 5,4 ha. El diagnóstico socioambiental se realizó en 90, 31 ha.</w:t>
            </w:r>
            <w:r w:rsidRPr="009278EC">
              <w:rPr>
                <w:rFonts w:ascii="Arial" w:hAnsi="Arial" w:cs="Arial"/>
                <w:sz w:val="16"/>
                <w:szCs w:val="16"/>
              </w:rPr>
              <w:br/>
              <w:t xml:space="preserve">Subcuenca Salitre </w:t>
            </w:r>
            <w:r w:rsidRPr="009278EC">
              <w:rPr>
                <w:rFonts w:ascii="Arial" w:hAnsi="Arial" w:cs="Arial"/>
                <w:sz w:val="16"/>
                <w:szCs w:val="16"/>
              </w:rPr>
              <w:br/>
              <w:t xml:space="preserve">En la Subcuenca Salitre se intervinieron 10,56 km equivalentes a 53,84 ha los cuales se distribuyeron de la siguiente manera: La Chorrera 0,87 km (2,62 ha) adicional a lo reportado anteriormente para un total de 2,1 km (7,8 ha) y 2547 árboles sembrados, Doña Pepa se intervino un total de 1,01 km (5,33 ha) y 700 árboles sembrados, en El Guaque se intervinieron 0,498 km (3,66 ha) y se sembraron un  total de 800 árboles, La Paz se intervinieron un total de 0,74 km ( 4,46ha) y 743 árboles sembrados, en La Guatecana se intervino en total de 0.72km (2.91 ha) y se </w:t>
            </w:r>
            <w:r w:rsidRPr="009278EC">
              <w:rPr>
                <w:rFonts w:ascii="Arial" w:hAnsi="Arial" w:cs="Arial"/>
                <w:sz w:val="16"/>
                <w:szCs w:val="16"/>
              </w:rPr>
              <w:lastRenderedPageBreak/>
              <w:t>sembraron 80 árboles, quebrada  La Serena se intervinieron 0,65 km (0,39 ha ) y un total de 80 árboles, Santa Bibiana se intervinieron un total de 0,345 km (2,1 ha), Milhojas 0,2 km (1 ha) y un total de 70 árboles sembrados, en la quebrada Pozo Claro se intervinieron 0,08 km (0,15ha) adicionales a las reportadas anteriormente para un total de 0,11 km ( 0,24ha) y 101 árboles sembrados, San Antonio  se intervino un total de 0,5 km (1,5 ha),quebrada Puente Piedra se intervino 0,35 km (1,95 ha) adicionales a lo intervenido anteriormente para un total de 1,18 km (4,97 ha), en la quebrada Morací se intervinieron 1,10 km (2,38 ha), en las delicias se realizó un intervención total  de 1,3 km ( 4,5 ha) y finalmente en la quebrada El Chulo se intervinieron 0.13 km (9,8 ha). El diagnóstico socioambiental se realizó sobre 88.29 ha y se diseñaron 10,43 km equivalentes a 26,3 ha.</w:t>
            </w:r>
            <w:r w:rsidRPr="009278EC">
              <w:rPr>
                <w:rFonts w:ascii="Arial" w:hAnsi="Arial" w:cs="Arial"/>
                <w:sz w:val="16"/>
                <w:szCs w:val="16"/>
              </w:rPr>
              <w:br/>
              <w:t xml:space="preserve">Subcuenca Fucha </w:t>
            </w:r>
            <w:r w:rsidRPr="009278EC">
              <w:rPr>
                <w:rFonts w:ascii="Arial" w:hAnsi="Arial" w:cs="Arial"/>
                <w:sz w:val="16"/>
                <w:szCs w:val="16"/>
              </w:rPr>
              <w:br/>
              <w:t>En esta subcuenca se intervinieron en total 3,11 km (14,44 ha) distribuidas de la siguiente manera: en las quebradas Padre de Jesús se intervinieron inicialmente 0,29km (1,7 ha) y en una segunda intervención en nuevas áreas se completaron 0,558 km (2,72 ha), en la quebrada  Mochón del Diablo se realizó una primera intervención de 0,31 km (1,8 ha) complementada con 0,335 (0,908 ha) en nuevas áreas  y San Bruno con una intervención inicial de 0,22 km (1,3 ha) y una segunda intervención de 0,46 km (2,907 ha), finalmente se realizó una intervención en el río Vicachá en 0,70 km (1,1 ha) y en la quebrada El Chuscal se intervino 0,24 km (2 ha). El diagnóstico sociombiental se adelantó en 20,11 y un diseño de 3km y 18,68 ha.</w:t>
            </w:r>
            <w:r w:rsidRPr="009278EC">
              <w:rPr>
                <w:rFonts w:ascii="Arial" w:hAnsi="Arial" w:cs="Arial"/>
                <w:sz w:val="16"/>
                <w:szCs w:val="16"/>
              </w:rPr>
              <w:br/>
            </w:r>
            <w:r w:rsidRPr="009278EC">
              <w:rPr>
                <w:rFonts w:ascii="Arial" w:hAnsi="Arial" w:cs="Arial"/>
                <w:sz w:val="16"/>
                <w:szCs w:val="16"/>
              </w:rPr>
              <w:br/>
              <w:t>Subcuenca Tunjuelo</w:t>
            </w:r>
            <w:r w:rsidRPr="009278EC">
              <w:rPr>
                <w:rFonts w:ascii="Arial" w:hAnsi="Arial" w:cs="Arial"/>
                <w:sz w:val="16"/>
                <w:szCs w:val="16"/>
              </w:rPr>
              <w:br/>
              <w:t xml:space="preserve">En esta subcuenca se intervinieron en total 14,95 km (21.10 ha) </w:t>
            </w:r>
            <w:r w:rsidRPr="009278EC">
              <w:rPr>
                <w:rFonts w:ascii="Arial" w:hAnsi="Arial" w:cs="Arial"/>
                <w:sz w:val="16"/>
                <w:szCs w:val="16"/>
              </w:rPr>
              <w:lastRenderedPageBreak/>
              <w:t>distribuidas de la siguiente manera: Quebrada Verejones se intervinieron 1,3  km (2,2 ha), Quebrada La Seca (PEDME) 1,38 km (3,1 ha), en las quebradas en el sector de Villa del Río 0.29 km (1.7 ha), Santa Rita 0.97 (0,34 ha), Carbonera 0.91 (0.5ha), Santo Domingo 0.91 km (0.66 ha), Guairita 2.9 km (1 ha), Porquera 1.5 km (1.6ha) y Palestina 0.1494 km (2ha). Y En la ruralidad se adelantó en el drenaje Los Bobos, Paso Colorado, Quebrada la Porquera, Quebrada Fucha, Quebrada Santander, Quebrada El Alar, Paso Negro. Quebrada Chiguacita, Quebrada Piedra Gorda, Quebrada la Requilina, Quebrada la Quinta, Quebrada Paso León, Pasito,  Quebrada El Otoño, Quebrada La Leona, Quebrada Jamaica; el aislamiento de ronda en 4.65 km, plantación de   7.073 individuos y mantenimiento de 660 árboles. El diagnóstico socioambiental se adelantó en 33,75 ha.</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3. 1525/ 2015</w:t>
            </w:r>
            <w:r w:rsidRPr="009278EC">
              <w:rPr>
                <w:rFonts w:ascii="Arial" w:hAnsi="Arial" w:cs="Arial"/>
                <w:sz w:val="16"/>
                <w:szCs w:val="16"/>
              </w:rPr>
              <w:br/>
              <w:t>4. 1311/2015</w:t>
            </w:r>
            <w:r w:rsidRPr="009278EC">
              <w:rPr>
                <w:rFonts w:ascii="Arial" w:hAnsi="Arial" w:cs="Arial"/>
                <w:sz w:val="16"/>
                <w:szCs w:val="16"/>
              </w:rPr>
              <w:br/>
              <w:t xml:space="preserve">5. 1303/2015 </w:t>
            </w:r>
            <w:r w:rsidRPr="009278EC">
              <w:rPr>
                <w:rFonts w:ascii="Arial" w:hAnsi="Arial" w:cs="Arial"/>
                <w:sz w:val="16"/>
                <w:szCs w:val="16"/>
              </w:rPr>
              <w:br/>
              <w:t>6. 792/2015</w:t>
            </w:r>
            <w:r w:rsidRPr="009278EC">
              <w:rPr>
                <w:rFonts w:ascii="Arial" w:hAnsi="Arial" w:cs="Arial"/>
                <w:sz w:val="16"/>
                <w:szCs w:val="16"/>
              </w:rPr>
              <w:br/>
              <w:t>7. 687 /2015</w:t>
            </w:r>
            <w:r w:rsidRPr="009278EC">
              <w:rPr>
                <w:rFonts w:ascii="Arial" w:hAnsi="Arial" w:cs="Arial"/>
                <w:sz w:val="16"/>
                <w:szCs w:val="16"/>
              </w:rPr>
              <w:br/>
              <w:t>8. 806/2015</w:t>
            </w:r>
            <w:r w:rsidRPr="009278EC">
              <w:rPr>
                <w:rFonts w:ascii="Arial" w:hAnsi="Arial" w:cs="Arial"/>
                <w:sz w:val="16"/>
                <w:szCs w:val="16"/>
              </w:rPr>
              <w:br/>
              <w:t>9. 988/2015</w:t>
            </w:r>
            <w:r w:rsidRPr="009278EC">
              <w:rPr>
                <w:rFonts w:ascii="Arial" w:hAnsi="Arial" w:cs="Arial"/>
                <w:sz w:val="16"/>
                <w:szCs w:val="16"/>
              </w:rPr>
              <w:br/>
              <w:t>10. 935/2015</w:t>
            </w:r>
            <w:r w:rsidRPr="009278EC">
              <w:rPr>
                <w:rFonts w:ascii="Arial" w:hAnsi="Arial" w:cs="Arial"/>
                <w:sz w:val="16"/>
                <w:szCs w:val="16"/>
              </w:rPr>
              <w:br/>
              <w:t>11. 968/2015</w:t>
            </w:r>
            <w:r w:rsidRPr="009278EC">
              <w:rPr>
                <w:rFonts w:ascii="Arial" w:hAnsi="Arial" w:cs="Arial"/>
                <w:sz w:val="16"/>
                <w:szCs w:val="16"/>
              </w:rPr>
              <w:br/>
              <w:t>12. 959/2015</w:t>
            </w:r>
            <w:r w:rsidRPr="009278EC">
              <w:rPr>
                <w:rFonts w:ascii="Arial" w:hAnsi="Arial" w:cs="Arial"/>
                <w:sz w:val="16"/>
                <w:szCs w:val="16"/>
              </w:rPr>
              <w:br/>
              <w:t>13. 970/2015</w:t>
            </w:r>
            <w:r w:rsidRPr="009278EC">
              <w:rPr>
                <w:rFonts w:ascii="Arial" w:hAnsi="Arial" w:cs="Arial"/>
                <w:sz w:val="16"/>
                <w:szCs w:val="16"/>
              </w:rPr>
              <w:br/>
              <w:t>14. 990/2015</w:t>
            </w:r>
            <w:r w:rsidRPr="009278EC">
              <w:rPr>
                <w:rFonts w:ascii="Arial" w:hAnsi="Arial" w:cs="Arial"/>
                <w:sz w:val="16"/>
                <w:szCs w:val="16"/>
              </w:rPr>
              <w:br/>
              <w:t>15. 890/2015</w:t>
            </w:r>
            <w:r w:rsidRPr="009278EC">
              <w:rPr>
                <w:rFonts w:ascii="Arial" w:hAnsi="Arial" w:cs="Arial"/>
                <w:sz w:val="16"/>
                <w:szCs w:val="16"/>
              </w:rPr>
              <w:br/>
              <w:t>16. 1209/2015</w:t>
            </w:r>
            <w:r w:rsidRPr="009278EC">
              <w:rPr>
                <w:rFonts w:ascii="Arial" w:hAnsi="Arial" w:cs="Arial"/>
                <w:sz w:val="16"/>
                <w:szCs w:val="16"/>
              </w:rPr>
              <w:br/>
              <w:t>17. 986/2015</w:t>
            </w:r>
            <w:r w:rsidRPr="009278EC">
              <w:rPr>
                <w:rFonts w:ascii="Arial" w:hAnsi="Arial" w:cs="Arial"/>
                <w:sz w:val="16"/>
                <w:szCs w:val="16"/>
              </w:rPr>
              <w:br/>
              <w:t>18. 925/2015</w:t>
            </w:r>
            <w:r w:rsidRPr="009278EC">
              <w:rPr>
                <w:rFonts w:ascii="Arial" w:hAnsi="Arial" w:cs="Arial"/>
                <w:sz w:val="16"/>
                <w:szCs w:val="16"/>
              </w:rPr>
              <w:br/>
              <w:t>19. 936/2015</w:t>
            </w:r>
            <w:r w:rsidRPr="009278EC">
              <w:rPr>
                <w:rFonts w:ascii="Arial" w:hAnsi="Arial" w:cs="Arial"/>
                <w:sz w:val="16"/>
                <w:szCs w:val="16"/>
              </w:rPr>
              <w:br/>
              <w:t>20. 805/2015</w:t>
            </w:r>
            <w:r w:rsidRPr="009278EC">
              <w:rPr>
                <w:rFonts w:ascii="Arial" w:hAnsi="Arial" w:cs="Arial"/>
                <w:sz w:val="16"/>
                <w:szCs w:val="16"/>
              </w:rPr>
              <w:br/>
              <w:t>21. 1200/2015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Las acciones desarrolladas en el marco de la recuperación integral de quebradas, aporta al objetivo de “Conservación y Adecuado Manejo de la Fauna y la Flora” ya que las actividades realizadas están encaminadas al incremento y recuperación de la riqueza biológica con enriquecimiento vegetal basada en módulos diseñados teniendo en cuenta las características del área a intervenir  y utilizando especies  nativas que aporten al restablecimiento de funciones ecosistemicas.</w:t>
            </w:r>
            <w:r w:rsidRPr="009278EC">
              <w:rPr>
                <w:rFonts w:ascii="Arial" w:hAnsi="Arial" w:cs="Arial"/>
                <w:sz w:val="16"/>
                <w:szCs w:val="16"/>
              </w:rPr>
              <w:br/>
            </w:r>
            <w:r w:rsidRPr="009278EC">
              <w:rPr>
                <w:rFonts w:ascii="Arial" w:hAnsi="Arial" w:cs="Arial"/>
                <w:sz w:val="16"/>
                <w:szCs w:val="16"/>
              </w:rPr>
              <w:br/>
              <w:t xml:space="preserve">Asimismo ésta actividad guarda coherencia y concordancia con la entrategia "Manejo Físico y Ecourbanismo"  dado que está asociada a la protección y restauración de ecosistemas estratégicos, al incremento del área verde de la ciudad y de la cobertura vegetal privilegiando el uso de especies nativas, que promuevan la biodiversidad y la oferta de bienes y servicios ambientales. Los siguientes contratos no corresponden a una actividad específica, sin embargo aportan al </w:t>
            </w:r>
            <w:r w:rsidRPr="009278EC">
              <w:rPr>
                <w:rFonts w:ascii="Arial" w:hAnsi="Arial" w:cs="Arial"/>
                <w:sz w:val="16"/>
                <w:szCs w:val="16"/>
              </w:rPr>
              <w:lastRenderedPageBreak/>
              <w:t>cumplimiento de la meta "Recuperación ecológica y paisajística de 57 Km. de rondas y ZMPA de las microcuencas de los ríos Fucha, Salitre, Tunjuelo y Torca": 1180/2015 - 794/2015 - 1129/2015 - 1162/2015</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3. Generar los conceptos tecnicos encaminados a revisar y aprobar los estudios de alinderamiento de los cuerpos de agua vinculados a la Estructuta Ecologica Principal elaborados y remitidos por la Empresa de Acueducto y Alcantarillado de Bogotá. De acuerdo con lo establecido en el Decreto 190 de 2004.</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De manera permanente se generan de informes técnicos para proteger, restaurar y mantener la Estructura Ecológica Principal con el fin de preservar los valores ecológicos, ambientales y socioculturales, la biodiversidad y elementos constitutivos del sistema hídrico y los procesos de conectividad ecológica con los elementos de la EEP del distrito, y la protección de hábitat de especies en categorías de amenaza existentes, para favorecer el establecimiento de flora y fauna propias de los ecosistemas dentro del perímetro urbano como características propias de estos ecosistemas.</w:t>
            </w:r>
            <w:r w:rsidRPr="009278EC">
              <w:rPr>
                <w:rFonts w:ascii="Arial" w:hAnsi="Arial" w:cs="Arial"/>
                <w:sz w:val="16"/>
                <w:szCs w:val="16"/>
              </w:rPr>
              <w:br/>
              <w:t xml:space="preserve">Durante el primer semestre de 2015 se realizaron las siguientes actividades: </w:t>
            </w:r>
            <w:r w:rsidRPr="009278EC">
              <w:rPr>
                <w:rFonts w:ascii="Arial" w:hAnsi="Arial" w:cs="Arial"/>
                <w:sz w:val="16"/>
                <w:szCs w:val="16"/>
              </w:rPr>
              <w:br/>
              <w:t xml:space="preserve">Se atendieron 188 procesos (27 quejas, 7 enlaces del concejo, 59 memorandos internos, 88 oficios externos, 4 Permisos de ocupación de cauce y 3 solicitudes de información por afectaciones de ZMPA a predios particulares). Dentro de estos, </w:t>
            </w:r>
            <w:r w:rsidRPr="009278EC">
              <w:rPr>
                <w:rFonts w:ascii="Arial" w:hAnsi="Arial" w:cs="Arial"/>
                <w:sz w:val="16"/>
                <w:szCs w:val="16"/>
              </w:rPr>
              <w:lastRenderedPageBreak/>
              <w:t xml:space="preserve">cabe resaltar que: </w:t>
            </w:r>
            <w:r w:rsidRPr="009278EC">
              <w:rPr>
                <w:rFonts w:ascii="Arial" w:hAnsi="Arial" w:cs="Arial"/>
                <w:sz w:val="16"/>
                <w:szCs w:val="16"/>
              </w:rPr>
              <w:br/>
              <w:t xml:space="preserve">* Se analizó la información suministrada por la EAB-ESP para el proceso de alinderamiento del Caño Galindo en la Localidad de Ciudad Bolívar, donde se ofició a la EAB, para que entregara información adicional. </w:t>
            </w:r>
            <w:r w:rsidRPr="009278EC">
              <w:rPr>
                <w:rFonts w:ascii="Arial" w:hAnsi="Arial" w:cs="Arial"/>
                <w:sz w:val="16"/>
                <w:szCs w:val="16"/>
              </w:rPr>
              <w:br/>
              <w:t xml:space="preserve">* Se generó el Informe técnico, sobre afectación al Corredor Ecológico de Ronda de la Quebrada el Chuscal por el Conjunto Residencial San Gerónimo del Yuste. </w:t>
            </w:r>
            <w:r w:rsidRPr="009278EC">
              <w:rPr>
                <w:rFonts w:ascii="Arial" w:hAnsi="Arial" w:cs="Arial"/>
                <w:sz w:val="16"/>
                <w:szCs w:val="16"/>
              </w:rPr>
              <w:br/>
              <w:t xml:space="preserve">* Se realizó el informe técnico sobre el encerramiento del Parque Ecológico Distrital de Humedal de Tibanica.  </w:t>
            </w:r>
            <w:r w:rsidRPr="009278EC">
              <w:rPr>
                <w:rFonts w:ascii="Arial" w:hAnsi="Arial" w:cs="Arial"/>
                <w:sz w:val="16"/>
                <w:szCs w:val="16"/>
              </w:rPr>
              <w:br/>
              <w:t>* Se realizaron 2 informes técnicos sobre la afectación al Corredor Ecológico de Ronda del Río Tunjuelo en inmediaciones del Barrio Guadalupe.</w:t>
            </w:r>
            <w:r w:rsidRPr="009278EC">
              <w:rPr>
                <w:rFonts w:ascii="Arial" w:hAnsi="Arial" w:cs="Arial"/>
                <w:sz w:val="16"/>
                <w:szCs w:val="16"/>
              </w:rPr>
              <w:br/>
              <w:t>* Se generó Informe Técnico dando los lineamientos para el desarrollo de la Planta de Tratamiento de lodos de la EAB-ESP en el Predio San Luis.</w:t>
            </w:r>
            <w:r w:rsidRPr="009278EC">
              <w:rPr>
                <w:rFonts w:ascii="Arial" w:hAnsi="Arial" w:cs="Arial"/>
                <w:sz w:val="16"/>
                <w:szCs w:val="16"/>
              </w:rPr>
              <w:br/>
              <w:t>* Se adelantaron los Informes Técnicos de los Permisos de Ocupación de Cauce de la EAB-ESP, para las Quebradas Trompeta, Zanjón de la Estrella, Infierno y Limas.</w:t>
            </w:r>
            <w:r w:rsidRPr="009278EC">
              <w:rPr>
                <w:rFonts w:ascii="Arial" w:hAnsi="Arial" w:cs="Arial"/>
                <w:sz w:val="16"/>
                <w:szCs w:val="16"/>
              </w:rPr>
              <w:br/>
              <w:t>Durante el tercer trimestre del año 2015 se generaron los siguientes informes técnicos:</w:t>
            </w:r>
            <w:r w:rsidRPr="009278EC">
              <w:rPr>
                <w:rFonts w:ascii="Arial" w:hAnsi="Arial" w:cs="Arial"/>
                <w:sz w:val="16"/>
                <w:szCs w:val="16"/>
              </w:rPr>
              <w:br/>
              <w:t>* Se generó la cota máxima de inundación del Rio Tunjuelo en el Predio Cantarrana.</w:t>
            </w:r>
            <w:r w:rsidRPr="009278EC">
              <w:rPr>
                <w:rFonts w:ascii="Arial" w:hAnsi="Arial" w:cs="Arial"/>
                <w:sz w:val="16"/>
                <w:szCs w:val="16"/>
              </w:rPr>
              <w:br/>
              <w:t>* Se determinó la viabilidad ambiental con la evacuación de las aguas contaminadas procedentes del Canal Oriental de Fontibón.</w:t>
            </w:r>
            <w:r w:rsidRPr="009278EC">
              <w:rPr>
                <w:rFonts w:ascii="Arial" w:hAnsi="Arial" w:cs="Arial"/>
                <w:sz w:val="16"/>
                <w:szCs w:val="16"/>
              </w:rPr>
              <w:br/>
              <w:t>* Informe técnico para el proceso de permiso ocupación de cauce de la Obra Ponton Calle 215.</w:t>
            </w:r>
            <w:r w:rsidRPr="009278EC">
              <w:rPr>
                <w:rFonts w:ascii="Arial" w:hAnsi="Arial" w:cs="Arial"/>
                <w:sz w:val="16"/>
                <w:szCs w:val="16"/>
              </w:rPr>
              <w:br/>
              <w:t xml:space="preserve">* Se realizó el estudio por afectación de pastoreo semoviente en el Corredor Ecológico de Ronda en la Quebrada La Salitrosa con el Informe Técnico No. 1421. Producto de este informe y por </w:t>
            </w:r>
            <w:r w:rsidRPr="009278EC">
              <w:rPr>
                <w:rFonts w:ascii="Arial" w:hAnsi="Arial" w:cs="Arial"/>
                <w:sz w:val="16"/>
                <w:szCs w:val="16"/>
              </w:rPr>
              <w:lastRenderedPageBreak/>
              <w:t>medio de resolución se generó el Concepto Técnico No. 8075.</w:t>
            </w:r>
            <w:r w:rsidRPr="009278EC">
              <w:rPr>
                <w:rFonts w:ascii="Arial" w:hAnsi="Arial" w:cs="Arial"/>
                <w:sz w:val="16"/>
                <w:szCs w:val="16"/>
              </w:rPr>
              <w:br/>
              <w:t>* Con base en los informes técnicos generados por afectación ambiental en el Río Tunjuelo, se generó Concepto Técnico por la para la discriminación de Ronda y ZMPA del Río Tunjuelo en el sector Guadalupe Margen Derecho.</w:t>
            </w:r>
            <w:r w:rsidRPr="009278EC">
              <w:rPr>
                <w:rFonts w:ascii="Arial" w:hAnsi="Arial" w:cs="Arial"/>
                <w:sz w:val="16"/>
                <w:szCs w:val="16"/>
              </w:rPr>
              <w:br/>
              <w:t>Durante el cuarto trimestre del año 2015 se generaron los siguientes informes técnicos:</w:t>
            </w:r>
            <w:r w:rsidRPr="009278EC">
              <w:rPr>
                <w:rFonts w:ascii="Arial" w:hAnsi="Arial" w:cs="Arial"/>
                <w:sz w:val="16"/>
                <w:szCs w:val="16"/>
              </w:rPr>
              <w:br/>
              <w:t>* Informe Técnico No. 1670 Estudio de Alinderamiento Quebrada Soratama Predio Calle 167A No. 5A-04.</w:t>
            </w:r>
            <w:r w:rsidRPr="009278EC">
              <w:rPr>
                <w:rFonts w:ascii="Arial" w:hAnsi="Arial" w:cs="Arial"/>
                <w:sz w:val="16"/>
                <w:szCs w:val="16"/>
              </w:rPr>
              <w:br/>
              <w:t>* Informe Técnico No. 1851 Reconformación Hidrogeomorfologica Brazo Derecho PEDH Juan Amarillo.</w:t>
            </w:r>
            <w:r w:rsidRPr="009278EC">
              <w:rPr>
                <w:rFonts w:ascii="Arial" w:hAnsi="Arial" w:cs="Arial"/>
                <w:sz w:val="16"/>
                <w:szCs w:val="16"/>
              </w:rPr>
              <w:br/>
              <w:t>* Informe Técnico No. 1870 Reconformación Hidrogeomorfologica Brazo Derecho PEDH Juan Amarillo.</w:t>
            </w:r>
            <w:r w:rsidRPr="009278EC">
              <w:rPr>
                <w:rFonts w:ascii="Arial" w:hAnsi="Arial" w:cs="Arial"/>
                <w:sz w:val="16"/>
                <w:szCs w:val="16"/>
              </w:rPr>
              <w:br/>
              <w:t>* Informe Técnico No. 1874 Replanteo Topográfico Proyecto Constructivo Bosques de La Quebrada - Quebrada La Vieja.</w:t>
            </w:r>
            <w:r w:rsidRPr="009278EC">
              <w:rPr>
                <w:rFonts w:ascii="Arial" w:hAnsi="Arial" w:cs="Arial"/>
                <w:sz w:val="16"/>
                <w:szCs w:val="16"/>
              </w:rPr>
              <w:br/>
              <w:t>* Informe Técnico No. 1989 Acompañamiento Técnico para Inspección Judicial Fiscalía Polígono 8.</w:t>
            </w:r>
            <w:r w:rsidRPr="009278EC">
              <w:rPr>
                <w:rFonts w:ascii="Arial" w:hAnsi="Arial" w:cs="Arial"/>
                <w:sz w:val="16"/>
                <w:szCs w:val="16"/>
              </w:rPr>
              <w:br/>
              <w:t>* Informe Técnico No. 1993 Acompañamiento Técnico para Inspección Judicial Fiscalia Poligono 22.</w:t>
            </w:r>
            <w:r w:rsidRPr="009278EC">
              <w:rPr>
                <w:rFonts w:ascii="Arial" w:hAnsi="Arial" w:cs="Arial"/>
                <w:sz w:val="16"/>
                <w:szCs w:val="16"/>
              </w:rPr>
              <w:br/>
              <w:t>* Informe Técnico No. 1990 Acompañamiento Técnico para Inspección Judicial Fiscalia Poligono 112.</w:t>
            </w:r>
            <w:r w:rsidRPr="009278EC">
              <w:rPr>
                <w:rFonts w:ascii="Arial" w:hAnsi="Arial" w:cs="Arial"/>
                <w:sz w:val="16"/>
                <w:szCs w:val="16"/>
              </w:rPr>
              <w:br/>
              <w:t>* Informe Técnico No. 1991 Acompañamiento Técnico para Inspección Judicial Fiscalia Poligono 113.</w:t>
            </w:r>
            <w:r w:rsidRPr="009278EC">
              <w:rPr>
                <w:rFonts w:ascii="Arial" w:hAnsi="Arial" w:cs="Arial"/>
                <w:sz w:val="16"/>
                <w:szCs w:val="16"/>
              </w:rPr>
              <w:br/>
              <w:t>* Informe Técnico No. 1992 Acompañamiento Técnico para Inspección Judicial Fiscalia Poligono 159.</w:t>
            </w:r>
            <w:r w:rsidRPr="009278EC">
              <w:rPr>
                <w:rFonts w:ascii="Arial" w:hAnsi="Arial" w:cs="Arial"/>
                <w:sz w:val="16"/>
                <w:szCs w:val="16"/>
              </w:rPr>
              <w:br/>
              <w:t>* Informe Técnico No. 1994 Acompañamiento Técnico para Inspección Judicial Fiscalia Poligono 140B.</w:t>
            </w:r>
            <w:r w:rsidRPr="009278EC">
              <w:rPr>
                <w:rFonts w:ascii="Arial" w:hAnsi="Arial" w:cs="Arial"/>
                <w:sz w:val="16"/>
                <w:szCs w:val="16"/>
              </w:rPr>
              <w:br/>
              <w:t>* Informe Técnico No. 2095 Acompañamiento Técnico para Inspección Judicial Fiscalia Poligono 164.</w:t>
            </w:r>
            <w:r w:rsidRPr="009278EC">
              <w:rPr>
                <w:rFonts w:ascii="Arial" w:hAnsi="Arial" w:cs="Arial"/>
                <w:sz w:val="16"/>
                <w:szCs w:val="16"/>
              </w:rPr>
              <w:br/>
              <w:t xml:space="preserve">* Informe Técnico No. 2123 Replanteo Topográfico ZMPA </w:t>
            </w:r>
            <w:r w:rsidRPr="009278EC">
              <w:rPr>
                <w:rFonts w:ascii="Arial" w:hAnsi="Arial" w:cs="Arial"/>
                <w:sz w:val="16"/>
                <w:szCs w:val="16"/>
              </w:rPr>
              <w:lastRenderedPageBreak/>
              <w:t>Quebrada Chicó.</w:t>
            </w:r>
            <w:r w:rsidRPr="009278EC">
              <w:rPr>
                <w:rFonts w:ascii="Arial" w:hAnsi="Arial" w:cs="Arial"/>
                <w:sz w:val="16"/>
                <w:szCs w:val="16"/>
              </w:rPr>
              <w:br/>
              <w:t>* Informe Técnico No. 2148 Acompañamiento Técnico para Inspección Judicial Fiscalia Poligono 228</w:t>
            </w:r>
            <w:r w:rsidRPr="009278EC">
              <w:rPr>
                <w:rFonts w:ascii="Arial" w:hAnsi="Arial" w:cs="Arial"/>
                <w:sz w:val="16"/>
                <w:szCs w:val="16"/>
              </w:rPr>
              <w:br/>
              <w:t>* Informe Técnico No. 2161 Acompañamiento Técnico para Inspección Judicial Fiscalia Poligono 45ª</w:t>
            </w:r>
            <w:r w:rsidRPr="009278EC">
              <w:rPr>
                <w:rFonts w:ascii="Arial" w:hAnsi="Arial" w:cs="Arial"/>
                <w:sz w:val="16"/>
                <w:szCs w:val="16"/>
              </w:rPr>
              <w:br/>
              <w:t>* Informe Técnico No. 2162 Acompañamiento Técnico para Inspección Judicial Fiscalia Poligono 45</w:t>
            </w:r>
            <w:r w:rsidRPr="009278EC">
              <w:rPr>
                <w:rFonts w:ascii="Arial" w:hAnsi="Arial" w:cs="Arial"/>
                <w:sz w:val="16"/>
                <w:szCs w:val="16"/>
              </w:rPr>
              <w:br/>
              <w:t>* Informe Técnico No. 2185 Aporte Hidríco al PEDH Tibanica Sector Estación de Bombeo La Isla</w:t>
            </w:r>
            <w:r w:rsidRPr="009278EC">
              <w:rPr>
                <w:rFonts w:ascii="Arial" w:hAnsi="Arial" w:cs="Arial"/>
                <w:sz w:val="16"/>
                <w:szCs w:val="16"/>
              </w:rPr>
              <w:br/>
              <w:t>* Informe Técnico No. 2232 Replanteo Topográfico Proyecto Torrelasalle Quebrada Las Delicias Carrera 2 No. 61-40</w:t>
            </w:r>
            <w:r w:rsidRPr="009278EC">
              <w:rPr>
                <w:rFonts w:ascii="Arial" w:hAnsi="Arial" w:cs="Arial"/>
                <w:sz w:val="16"/>
                <w:szCs w:val="16"/>
              </w:rPr>
              <w:br/>
              <w:t>* Informe Técnico No. 2244 Construcción de Gaviones en CER Quebrada Las Delicias Proyecto Torrelasalle  Carrera 2 No. 61-40</w:t>
            </w:r>
            <w:r w:rsidRPr="009278EC">
              <w:rPr>
                <w:rFonts w:ascii="Arial" w:hAnsi="Arial" w:cs="Arial"/>
                <w:sz w:val="16"/>
                <w:szCs w:val="16"/>
              </w:rPr>
              <w:br/>
              <w:t>* Informe Técnico No. 2331 Condición Déficit Hídrico del PEDH Tibanica</w:t>
            </w:r>
            <w:r w:rsidRPr="009278EC">
              <w:rPr>
                <w:rFonts w:ascii="Arial" w:hAnsi="Arial" w:cs="Arial"/>
                <w:sz w:val="16"/>
                <w:szCs w:val="16"/>
              </w:rPr>
              <w:br/>
              <w:t>* Informe Técnico No. 2408 Acompañamiento DCA Operativo en el CER Río Tunjuelo Sector de las Gravillera</w:t>
            </w:r>
            <w:r w:rsidRPr="009278EC">
              <w:rPr>
                <w:rFonts w:ascii="Arial" w:hAnsi="Arial" w:cs="Arial"/>
                <w:sz w:val="16"/>
                <w:szCs w:val="16"/>
              </w:rPr>
              <w:br/>
              <w:t>* Informe Técnico No. 2421 Evaluación Componentes Biofísicos y Afectación Ambiental Quebrada Morací Predio Casa Vacca Suarez</w:t>
            </w:r>
            <w:r w:rsidRPr="009278EC">
              <w:rPr>
                <w:rFonts w:ascii="Arial" w:hAnsi="Arial" w:cs="Arial"/>
                <w:sz w:val="16"/>
                <w:szCs w:val="16"/>
              </w:rPr>
              <w:br/>
              <w:t>* Informe Técnico No. 2543 Alcance Información Suministrada por la EAAB-ESP Alinderamiento y Predios Entregados de la Quebrada Arauquita</w:t>
            </w:r>
            <w:r w:rsidRPr="009278EC">
              <w:rPr>
                <w:rFonts w:ascii="Arial" w:hAnsi="Arial" w:cs="Arial"/>
                <w:sz w:val="16"/>
                <w:szCs w:val="16"/>
              </w:rPr>
              <w:br/>
              <w:t>* Concepto Técnico No. 1872 Afectación por construcción en ZMPA dentro de la Quebrada Los Rosales</w:t>
            </w:r>
            <w:r w:rsidRPr="009278EC">
              <w:rPr>
                <w:rFonts w:ascii="Arial" w:hAnsi="Arial" w:cs="Arial"/>
                <w:sz w:val="16"/>
                <w:szCs w:val="16"/>
              </w:rPr>
              <w:br/>
              <w:t>* Concepto Técnico No. 10438 Afectación por pastoreo Semovientes en el PEDH Juan Amarillo</w:t>
            </w:r>
            <w:r w:rsidRPr="009278EC">
              <w:rPr>
                <w:rFonts w:ascii="Arial" w:hAnsi="Arial" w:cs="Arial"/>
                <w:sz w:val="16"/>
                <w:szCs w:val="16"/>
              </w:rPr>
              <w:br/>
              <w:t>* Concepto Técnico No. 11852 Determinar afectación de predios en ZMPA del PEDH Tibanica</w:t>
            </w:r>
            <w:r w:rsidRPr="009278EC">
              <w:rPr>
                <w:rFonts w:ascii="Arial" w:hAnsi="Arial" w:cs="Arial"/>
                <w:sz w:val="16"/>
                <w:szCs w:val="16"/>
              </w:rPr>
              <w:br/>
              <w:t xml:space="preserve">* Concepto Técnico No. 12599 Evaluación Presencia Cuerpo de </w:t>
            </w:r>
            <w:r w:rsidRPr="009278EC">
              <w:rPr>
                <w:rFonts w:ascii="Arial" w:hAnsi="Arial" w:cs="Arial"/>
                <w:sz w:val="16"/>
                <w:szCs w:val="16"/>
              </w:rPr>
              <w:lastRenderedPageBreak/>
              <w:t>agua Para Rehabilitación Vial</w:t>
            </w:r>
            <w:r w:rsidRPr="009278EC">
              <w:rPr>
                <w:rFonts w:ascii="Arial" w:hAnsi="Arial" w:cs="Arial"/>
                <w:sz w:val="16"/>
                <w:szCs w:val="16"/>
              </w:rPr>
              <w:br/>
              <w:t>* Concepto Técnico No. 2420 Identificar y Cualificar Predios dentro del CER Quebrada Chuniza Barrio La Esperanza</w:t>
            </w:r>
            <w:r w:rsidRPr="009278EC">
              <w:rPr>
                <w:rFonts w:ascii="Arial" w:hAnsi="Arial" w:cs="Arial"/>
                <w:sz w:val="16"/>
                <w:szCs w:val="16"/>
              </w:rPr>
              <w:br/>
              <w:t>Adicionalmente se generó el Concepto Técnico No. 12430 con los criterios técnicos para alinderamiento de los Corredores Ecológicos de Ronda,  para que funcione como guía práctica para un adecuado estudio en el proceso de alinderamiento de los cuerpos hídricos en el Distrito Capital.</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23. 475/2015</w:t>
            </w:r>
            <w:r w:rsidRPr="009278EC">
              <w:rPr>
                <w:rFonts w:ascii="Arial" w:hAnsi="Arial" w:cs="Arial"/>
                <w:sz w:val="16"/>
                <w:szCs w:val="16"/>
              </w:rPr>
              <w:br/>
              <w:t>24. 981/2015</w:t>
            </w:r>
            <w:r w:rsidRPr="009278EC">
              <w:rPr>
                <w:rFonts w:ascii="Arial" w:hAnsi="Arial" w:cs="Arial"/>
                <w:sz w:val="16"/>
                <w:szCs w:val="16"/>
              </w:rPr>
              <w:br/>
              <w:t>25. 672/2015</w:t>
            </w:r>
            <w:r w:rsidRPr="009278EC">
              <w:rPr>
                <w:rFonts w:ascii="Arial" w:hAnsi="Arial" w:cs="Arial"/>
                <w:sz w:val="16"/>
                <w:szCs w:val="16"/>
              </w:rPr>
              <w:br/>
              <w:t>26. 571/2015</w:t>
            </w:r>
            <w:r w:rsidRPr="009278EC">
              <w:rPr>
                <w:rFonts w:ascii="Arial" w:hAnsi="Arial" w:cs="Arial"/>
                <w:sz w:val="16"/>
                <w:szCs w:val="16"/>
              </w:rPr>
              <w:br/>
              <w:t>27.  565/2015</w:t>
            </w:r>
            <w:r w:rsidRPr="009278EC">
              <w:rPr>
                <w:rFonts w:ascii="Arial" w:hAnsi="Arial" w:cs="Arial"/>
                <w:sz w:val="16"/>
                <w:szCs w:val="16"/>
              </w:rPr>
              <w:br/>
              <w:t>28. 972/2015</w:t>
            </w:r>
            <w:r w:rsidRPr="009278EC">
              <w:rPr>
                <w:rFonts w:ascii="Arial" w:hAnsi="Arial" w:cs="Arial"/>
                <w:sz w:val="16"/>
                <w:szCs w:val="16"/>
              </w:rPr>
              <w:br/>
              <w:t>29. 1251/2015</w:t>
            </w:r>
            <w:r w:rsidRPr="009278EC">
              <w:rPr>
                <w:rFonts w:ascii="Arial" w:hAnsi="Arial" w:cs="Arial"/>
                <w:sz w:val="16"/>
                <w:szCs w:val="16"/>
              </w:rPr>
              <w:br/>
              <w:t>30. 646/2015</w:t>
            </w:r>
            <w:r w:rsidRPr="009278EC">
              <w:rPr>
                <w:rFonts w:ascii="Arial" w:hAnsi="Arial" w:cs="Arial"/>
                <w:sz w:val="16"/>
                <w:szCs w:val="16"/>
              </w:rPr>
              <w:br/>
              <w:t>31. 957/2015</w:t>
            </w:r>
            <w:r w:rsidRPr="009278EC">
              <w:rPr>
                <w:rFonts w:ascii="Arial" w:hAnsi="Arial" w:cs="Arial"/>
                <w:sz w:val="16"/>
                <w:szCs w:val="16"/>
              </w:rPr>
              <w:br/>
              <w:t xml:space="preserve">32. 982/2015 </w:t>
            </w:r>
            <w:r w:rsidRPr="009278EC">
              <w:rPr>
                <w:rFonts w:ascii="Arial" w:hAnsi="Arial" w:cs="Arial"/>
                <w:sz w:val="16"/>
                <w:szCs w:val="16"/>
              </w:rPr>
              <w:br/>
              <w:t>33. 1046/2015</w:t>
            </w:r>
            <w:r w:rsidRPr="009278EC">
              <w:rPr>
                <w:rFonts w:ascii="Arial" w:hAnsi="Arial" w:cs="Arial"/>
                <w:sz w:val="16"/>
                <w:szCs w:val="16"/>
              </w:rPr>
              <w:br/>
              <w:t>34. 54/2015</w:t>
            </w:r>
            <w:r w:rsidRPr="009278EC">
              <w:rPr>
                <w:rFonts w:ascii="Arial" w:hAnsi="Arial" w:cs="Arial"/>
                <w:sz w:val="16"/>
                <w:szCs w:val="16"/>
              </w:rPr>
              <w:br/>
              <w:t>35. 1022/2015</w:t>
            </w:r>
            <w:r w:rsidRPr="009278EC">
              <w:rPr>
                <w:rFonts w:ascii="Arial" w:hAnsi="Arial" w:cs="Arial"/>
                <w:sz w:val="16"/>
                <w:szCs w:val="16"/>
              </w:rPr>
              <w:br/>
              <w:t>36. 1173/2015</w:t>
            </w:r>
            <w:r w:rsidRPr="009278EC">
              <w:rPr>
                <w:rFonts w:ascii="Arial" w:hAnsi="Arial" w:cs="Arial"/>
                <w:sz w:val="16"/>
                <w:szCs w:val="16"/>
              </w:rPr>
              <w:br/>
              <w:t>37.  1021/2015</w:t>
            </w:r>
            <w:r w:rsidRPr="009278EC">
              <w:rPr>
                <w:rFonts w:ascii="Arial" w:hAnsi="Arial" w:cs="Arial"/>
                <w:sz w:val="16"/>
                <w:szCs w:val="16"/>
              </w:rPr>
              <w:br/>
              <w:t xml:space="preserve">38.  R1956/2015 </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Los informes generados por el grupo de Conceptos Técnicos de la SER, están intrínsecamente relacionados con el objetivo de "Conservación y Adecuado Manejo de la Fauna y la Flora" dado que brindan la línea base de la  caracterización de los cuerpos de agua atendidos (o tramos de estos) en sus componentes Geológico, Hidráulico, Hidrológico y Biótico, apuntando a definir las áreas potenciales para programas de restauración, preservación e incremento de la riqueza biológica del D.C.</w:t>
            </w:r>
            <w:r w:rsidRPr="009278EC">
              <w:rPr>
                <w:rFonts w:ascii="Arial" w:hAnsi="Arial" w:cs="Arial"/>
                <w:sz w:val="16"/>
                <w:szCs w:val="16"/>
              </w:rPr>
              <w:br/>
            </w:r>
            <w:r w:rsidRPr="009278EC">
              <w:rPr>
                <w:rFonts w:ascii="Arial" w:hAnsi="Arial" w:cs="Arial"/>
                <w:sz w:val="16"/>
                <w:szCs w:val="16"/>
              </w:rPr>
              <w:br/>
              <w:t xml:space="preserve">Ésta actividad también es coherente con la estrategia "Manejo Físico y  Ecourbanismo" ya que se generan los lineamientos necesarios </w:t>
            </w:r>
            <w:r w:rsidRPr="009278EC">
              <w:rPr>
                <w:rFonts w:ascii="Arial" w:hAnsi="Arial" w:cs="Arial"/>
                <w:sz w:val="16"/>
                <w:szCs w:val="16"/>
              </w:rPr>
              <w:lastRenderedPageBreak/>
              <w:t>para armonizar los ecosistemas asociados a los diferentes elementos de la Estructura Ecológica Principal del D. C., identificando  las restricciones para el desarrollo de infraestructura en áreas protegidas, evaluando la importancia ambiental de espacios que puedan ser adicionados a las áreas protegidas. Los siguientes contratos no corresponden a una actividad específica, sin embargo aportan al cumplimiento de la meta "Recuperación ecológica y paisajística de 57 Km. de rondas y ZMPA de las microcuencas de los ríos Fucha, Salitre, Tunjuelo y Torca": 1180/2015 - 794/2015 - 1129/2015 - 1162/2015.</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5. Mantener  las áreas restauradas de  ronda hidraúlica y ZMPA en quebradas intervenidas por la SDA</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Se realizó el mantenimiento en las siguientes quebradas:</w:t>
            </w:r>
            <w:r w:rsidRPr="009278EC">
              <w:rPr>
                <w:rFonts w:ascii="Arial" w:hAnsi="Arial" w:cs="Arial"/>
                <w:sz w:val="16"/>
                <w:szCs w:val="16"/>
              </w:rPr>
              <w:br/>
              <w:t xml:space="preserve">1. QUEBRADA POZO CLARO Plantación y Mantenimiento </w:t>
            </w:r>
            <w:r w:rsidRPr="009278EC">
              <w:rPr>
                <w:rFonts w:ascii="Arial" w:hAnsi="Arial" w:cs="Arial"/>
                <w:sz w:val="16"/>
                <w:szCs w:val="16"/>
              </w:rPr>
              <w:br/>
              <w:t>• Control de retamo 0.095</w:t>
            </w:r>
            <w:r w:rsidRPr="009278EC">
              <w:rPr>
                <w:rFonts w:ascii="Arial" w:hAnsi="Arial" w:cs="Arial"/>
                <w:sz w:val="16"/>
                <w:szCs w:val="16"/>
              </w:rPr>
              <w:br/>
              <w:t>• Recolección de residuos sólidos: 6,05  Ton</w:t>
            </w:r>
            <w:r w:rsidRPr="009278EC">
              <w:rPr>
                <w:rFonts w:ascii="Arial" w:hAnsi="Arial" w:cs="Arial"/>
                <w:sz w:val="16"/>
                <w:szCs w:val="16"/>
              </w:rPr>
              <w:br/>
              <w:t xml:space="preserve">• Recolección de escombros 2,7 Toneladas </w:t>
            </w:r>
            <w:r w:rsidRPr="009278EC">
              <w:rPr>
                <w:rFonts w:ascii="Arial" w:hAnsi="Arial" w:cs="Arial"/>
                <w:sz w:val="16"/>
                <w:szCs w:val="16"/>
              </w:rPr>
              <w:br/>
              <w:t xml:space="preserve">• Plantación de 101 árboles </w:t>
            </w:r>
            <w:r w:rsidRPr="009278EC">
              <w:rPr>
                <w:rFonts w:ascii="Arial" w:hAnsi="Arial" w:cs="Arial"/>
                <w:sz w:val="16"/>
                <w:szCs w:val="16"/>
              </w:rPr>
              <w:br/>
              <w:t xml:space="preserve">• Mantenimiento de 65 árboles </w:t>
            </w:r>
            <w:r w:rsidRPr="009278EC">
              <w:rPr>
                <w:rFonts w:ascii="Arial" w:hAnsi="Arial" w:cs="Arial"/>
                <w:sz w:val="16"/>
                <w:szCs w:val="16"/>
              </w:rPr>
              <w:br/>
              <w:t>• Tramo intervenido: 1,722 Km</w:t>
            </w:r>
            <w:r w:rsidRPr="009278EC">
              <w:rPr>
                <w:rFonts w:ascii="Arial" w:hAnsi="Arial" w:cs="Arial"/>
                <w:sz w:val="16"/>
                <w:szCs w:val="16"/>
              </w:rPr>
              <w:br/>
              <w:t xml:space="preserve">• Área intervenida: 3,2 ha </w:t>
            </w:r>
            <w:r w:rsidRPr="009278EC">
              <w:rPr>
                <w:rFonts w:ascii="Arial" w:hAnsi="Arial" w:cs="Arial"/>
                <w:sz w:val="16"/>
                <w:szCs w:val="16"/>
              </w:rPr>
              <w:br/>
              <w:t xml:space="preserve">2. QUEBRADA AGUAS CALIENTES- Sector Vivero Santa Paula-  </w:t>
            </w:r>
            <w:r w:rsidRPr="009278EC">
              <w:rPr>
                <w:rFonts w:ascii="Arial" w:hAnsi="Arial" w:cs="Arial"/>
                <w:sz w:val="16"/>
                <w:szCs w:val="16"/>
              </w:rPr>
              <w:br/>
              <w:t>Mantenimiento - Usaquén</w:t>
            </w:r>
            <w:r w:rsidRPr="009278EC">
              <w:rPr>
                <w:rFonts w:ascii="Arial" w:hAnsi="Arial" w:cs="Arial"/>
                <w:sz w:val="16"/>
                <w:szCs w:val="16"/>
              </w:rPr>
              <w:br/>
              <w:t>• Recuperación de espejo de agua 0,06 km</w:t>
            </w:r>
            <w:r w:rsidRPr="009278EC">
              <w:rPr>
                <w:rFonts w:ascii="Arial" w:hAnsi="Arial" w:cs="Arial"/>
                <w:sz w:val="16"/>
                <w:szCs w:val="16"/>
              </w:rPr>
              <w:br/>
              <w:t>• Corte de césped 1,5 Toneladas</w:t>
            </w:r>
            <w:r w:rsidRPr="009278EC">
              <w:rPr>
                <w:rFonts w:ascii="Arial" w:hAnsi="Arial" w:cs="Arial"/>
                <w:sz w:val="16"/>
                <w:szCs w:val="16"/>
              </w:rPr>
              <w:br/>
              <w:t xml:space="preserve">• Replante de 110 árboles </w:t>
            </w:r>
            <w:r w:rsidRPr="009278EC">
              <w:rPr>
                <w:rFonts w:ascii="Arial" w:hAnsi="Arial" w:cs="Arial"/>
                <w:sz w:val="16"/>
                <w:szCs w:val="16"/>
              </w:rPr>
              <w:br/>
              <w:t xml:space="preserve">• Plateo de árboles 209 árboles </w:t>
            </w:r>
            <w:r w:rsidRPr="009278EC">
              <w:rPr>
                <w:rFonts w:ascii="Arial" w:hAnsi="Arial" w:cs="Arial"/>
                <w:sz w:val="16"/>
                <w:szCs w:val="16"/>
              </w:rPr>
              <w:br/>
              <w:t xml:space="preserve">• Retutorado de árboles 15 árboles </w:t>
            </w:r>
            <w:r w:rsidRPr="009278EC">
              <w:rPr>
                <w:rFonts w:ascii="Arial" w:hAnsi="Arial" w:cs="Arial"/>
                <w:sz w:val="16"/>
                <w:szCs w:val="16"/>
              </w:rPr>
              <w:br/>
              <w:t xml:space="preserve">• Área intervenida 0,6 ha </w:t>
            </w:r>
            <w:r w:rsidRPr="009278EC">
              <w:rPr>
                <w:rFonts w:ascii="Arial" w:hAnsi="Arial" w:cs="Arial"/>
                <w:sz w:val="16"/>
                <w:szCs w:val="16"/>
              </w:rPr>
              <w:br/>
              <w:t>• Tramo intervenido 0,74 km</w:t>
            </w:r>
            <w:r w:rsidRPr="009278EC">
              <w:rPr>
                <w:rFonts w:ascii="Arial" w:hAnsi="Arial" w:cs="Arial"/>
                <w:sz w:val="16"/>
                <w:szCs w:val="16"/>
              </w:rPr>
              <w:br/>
              <w:t xml:space="preserve">3. QUEBRADA AGUAS CALIENTES- Sector Estación  Policía Torca y Cementerio </w:t>
            </w:r>
            <w:r w:rsidRPr="009278EC">
              <w:rPr>
                <w:rFonts w:ascii="Arial" w:hAnsi="Arial" w:cs="Arial"/>
                <w:sz w:val="16"/>
                <w:szCs w:val="16"/>
              </w:rPr>
              <w:br/>
              <w:t>Mantenimiento-  Usaquén</w:t>
            </w:r>
            <w:r w:rsidRPr="009278EC">
              <w:rPr>
                <w:rFonts w:ascii="Arial" w:hAnsi="Arial" w:cs="Arial"/>
                <w:sz w:val="16"/>
                <w:szCs w:val="16"/>
              </w:rPr>
              <w:br/>
              <w:t>• Recuperación de espejo de agua 1,296  km</w:t>
            </w:r>
            <w:r w:rsidRPr="009278EC">
              <w:rPr>
                <w:rFonts w:ascii="Arial" w:hAnsi="Arial" w:cs="Arial"/>
                <w:sz w:val="16"/>
                <w:szCs w:val="16"/>
              </w:rPr>
              <w:br/>
            </w:r>
            <w:r w:rsidRPr="009278EC">
              <w:rPr>
                <w:rFonts w:ascii="Arial" w:hAnsi="Arial" w:cs="Arial"/>
                <w:sz w:val="16"/>
                <w:szCs w:val="16"/>
              </w:rPr>
              <w:lastRenderedPageBreak/>
              <w:t xml:space="preserve">• Recolección de residíos solidos 0.01 Toneladas </w:t>
            </w:r>
            <w:r w:rsidRPr="009278EC">
              <w:rPr>
                <w:rFonts w:ascii="Arial" w:hAnsi="Arial" w:cs="Arial"/>
                <w:sz w:val="16"/>
                <w:szCs w:val="16"/>
              </w:rPr>
              <w:br/>
              <w:t xml:space="preserve">• Extracción de buchón 3 toneladas </w:t>
            </w:r>
            <w:r w:rsidRPr="009278EC">
              <w:rPr>
                <w:rFonts w:ascii="Arial" w:hAnsi="Arial" w:cs="Arial"/>
                <w:sz w:val="16"/>
                <w:szCs w:val="16"/>
              </w:rPr>
              <w:br/>
              <w:t xml:space="preserve">• Mantenimiento de 929 árboles </w:t>
            </w:r>
            <w:r w:rsidRPr="009278EC">
              <w:rPr>
                <w:rFonts w:ascii="Arial" w:hAnsi="Arial" w:cs="Arial"/>
                <w:sz w:val="16"/>
                <w:szCs w:val="16"/>
              </w:rPr>
              <w:br/>
              <w:t xml:space="preserve">• Área intervenida 2,016 ha </w:t>
            </w:r>
            <w:r w:rsidRPr="009278EC">
              <w:rPr>
                <w:rFonts w:ascii="Arial" w:hAnsi="Arial" w:cs="Arial"/>
                <w:sz w:val="16"/>
                <w:szCs w:val="16"/>
              </w:rPr>
              <w:br/>
              <w:t>• Tramo intervenido 1,296 km</w:t>
            </w:r>
            <w:r w:rsidRPr="009278EC">
              <w:rPr>
                <w:rFonts w:ascii="Arial" w:hAnsi="Arial" w:cs="Arial"/>
                <w:sz w:val="16"/>
                <w:szCs w:val="16"/>
              </w:rPr>
              <w:br/>
              <w:t xml:space="preserve">4. QUEBRADA PUENTE PIEDRA  MANTENIMIENTO  </w:t>
            </w:r>
            <w:r w:rsidRPr="009278EC">
              <w:rPr>
                <w:rFonts w:ascii="Arial" w:hAnsi="Arial" w:cs="Arial"/>
                <w:sz w:val="16"/>
                <w:szCs w:val="16"/>
              </w:rPr>
              <w:br/>
              <w:t xml:space="preserve">• Plateo de árboles 687 árboles </w:t>
            </w:r>
            <w:r w:rsidRPr="009278EC">
              <w:rPr>
                <w:rFonts w:ascii="Arial" w:hAnsi="Arial" w:cs="Arial"/>
                <w:sz w:val="16"/>
                <w:szCs w:val="16"/>
              </w:rPr>
              <w:br/>
              <w:t xml:space="preserve">• Recolección de residuos sólidos 2.795 toneladas </w:t>
            </w:r>
            <w:r w:rsidRPr="009278EC">
              <w:rPr>
                <w:rFonts w:ascii="Arial" w:hAnsi="Arial" w:cs="Arial"/>
                <w:sz w:val="16"/>
                <w:szCs w:val="16"/>
              </w:rPr>
              <w:br/>
              <w:t xml:space="preserve">• Tramo intervenido 1,327 km </w:t>
            </w:r>
            <w:r w:rsidRPr="009278EC">
              <w:rPr>
                <w:rFonts w:ascii="Arial" w:hAnsi="Arial" w:cs="Arial"/>
                <w:sz w:val="16"/>
                <w:szCs w:val="16"/>
              </w:rPr>
              <w:br/>
              <w:t xml:space="preserve">• Área  intervenida 1,042 ha </w:t>
            </w:r>
            <w:r w:rsidRPr="009278EC">
              <w:rPr>
                <w:rFonts w:ascii="Arial" w:hAnsi="Arial" w:cs="Arial"/>
                <w:sz w:val="16"/>
                <w:szCs w:val="16"/>
              </w:rPr>
              <w:br/>
              <w:t xml:space="preserve">5. QUEBRADA SUREÑA  MANTENIMIENTO  </w:t>
            </w:r>
            <w:r w:rsidRPr="009278EC">
              <w:rPr>
                <w:rFonts w:ascii="Arial" w:hAnsi="Arial" w:cs="Arial"/>
                <w:sz w:val="16"/>
                <w:szCs w:val="16"/>
              </w:rPr>
              <w:br/>
              <w:t xml:space="preserve">• Recolección de residuos sólidos 6,1 Toneladas </w:t>
            </w:r>
            <w:r w:rsidRPr="009278EC">
              <w:rPr>
                <w:rFonts w:ascii="Arial" w:hAnsi="Arial" w:cs="Arial"/>
                <w:sz w:val="16"/>
                <w:szCs w:val="16"/>
              </w:rPr>
              <w:br/>
              <w:t>• Tramo intervenido 1,57 Km</w:t>
            </w:r>
            <w:r w:rsidRPr="009278EC">
              <w:rPr>
                <w:rFonts w:ascii="Arial" w:hAnsi="Arial" w:cs="Arial"/>
                <w:sz w:val="16"/>
                <w:szCs w:val="16"/>
              </w:rPr>
              <w:br/>
              <w:t>• Área intervenida 2,68 ha</w:t>
            </w:r>
            <w:r w:rsidRPr="009278EC">
              <w:rPr>
                <w:rFonts w:ascii="Arial" w:hAnsi="Arial" w:cs="Arial"/>
                <w:sz w:val="16"/>
                <w:szCs w:val="16"/>
              </w:rPr>
              <w:br/>
              <w:t xml:space="preserve">6. QUEBRADA MORACÍ –USAQUEN   MANTENIMIENTO  </w:t>
            </w:r>
            <w:r w:rsidRPr="009278EC">
              <w:rPr>
                <w:rFonts w:ascii="Arial" w:hAnsi="Arial" w:cs="Arial"/>
                <w:sz w:val="16"/>
                <w:szCs w:val="16"/>
              </w:rPr>
              <w:br/>
              <w:t xml:space="preserve">• Corte de Pasto Kikuyo y control de rebrote de acacia  0,015 ha </w:t>
            </w:r>
            <w:r w:rsidRPr="009278EC">
              <w:rPr>
                <w:rFonts w:ascii="Arial" w:hAnsi="Arial" w:cs="Arial"/>
                <w:sz w:val="16"/>
                <w:szCs w:val="16"/>
              </w:rPr>
              <w:br/>
              <w:t xml:space="preserve">• Recolección de residuos sólidos 1,32 Toneladas </w:t>
            </w:r>
            <w:r w:rsidRPr="009278EC">
              <w:rPr>
                <w:rFonts w:ascii="Arial" w:hAnsi="Arial" w:cs="Arial"/>
                <w:sz w:val="16"/>
                <w:szCs w:val="16"/>
              </w:rPr>
              <w:br/>
              <w:t xml:space="preserve">• Plateo de árboles 1141 árboles </w:t>
            </w:r>
            <w:r w:rsidRPr="009278EC">
              <w:rPr>
                <w:rFonts w:ascii="Arial" w:hAnsi="Arial" w:cs="Arial"/>
                <w:sz w:val="16"/>
                <w:szCs w:val="16"/>
              </w:rPr>
              <w:br/>
              <w:t xml:space="preserve">• Limpieza de cauce 1,205 km </w:t>
            </w:r>
            <w:r w:rsidRPr="009278EC">
              <w:rPr>
                <w:rFonts w:ascii="Arial" w:hAnsi="Arial" w:cs="Arial"/>
                <w:sz w:val="16"/>
                <w:szCs w:val="16"/>
              </w:rPr>
              <w:br/>
              <w:t>• Tramo intervenido 1,654 km</w:t>
            </w:r>
            <w:r w:rsidRPr="009278EC">
              <w:rPr>
                <w:rFonts w:ascii="Arial" w:hAnsi="Arial" w:cs="Arial"/>
                <w:sz w:val="16"/>
                <w:szCs w:val="16"/>
              </w:rPr>
              <w:br/>
              <w:t>• Área intervenida 2,4 ha</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805/2015</w:t>
            </w:r>
            <w:r w:rsidRPr="009278EC">
              <w:rPr>
                <w:rFonts w:ascii="Arial" w:hAnsi="Arial" w:cs="Arial"/>
                <w:sz w:val="16"/>
                <w:szCs w:val="16"/>
              </w:rPr>
              <w:br/>
              <w:t>2. 970/2015</w:t>
            </w:r>
            <w:r w:rsidRPr="009278EC">
              <w:rPr>
                <w:rFonts w:ascii="Arial" w:hAnsi="Arial" w:cs="Arial"/>
                <w:sz w:val="16"/>
                <w:szCs w:val="16"/>
              </w:rPr>
              <w:br/>
              <w:t>4. 907/2015</w:t>
            </w:r>
            <w:r w:rsidRPr="009278EC">
              <w:rPr>
                <w:rFonts w:ascii="Arial" w:hAnsi="Arial" w:cs="Arial"/>
                <w:sz w:val="16"/>
                <w:szCs w:val="16"/>
              </w:rPr>
              <w:br/>
              <w:t>5. 1525/2015</w:t>
            </w:r>
            <w:r w:rsidRPr="009278EC">
              <w:rPr>
                <w:rFonts w:ascii="Arial" w:hAnsi="Arial" w:cs="Arial"/>
                <w:sz w:val="16"/>
                <w:szCs w:val="16"/>
              </w:rPr>
              <w:br/>
              <w:t>6. 1311/2015</w:t>
            </w:r>
            <w:r w:rsidRPr="009278EC">
              <w:rPr>
                <w:rFonts w:ascii="Arial" w:hAnsi="Arial" w:cs="Arial"/>
                <w:sz w:val="16"/>
                <w:szCs w:val="16"/>
              </w:rPr>
              <w:br/>
              <w:t>7. 1451/2015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es concordante con el objetivo de “Conservación y Adecuado Manejo de la Fauna y la Flora” teniendo en cuenta que </w:t>
            </w:r>
            <w:r w:rsidRPr="009278EC">
              <w:rPr>
                <w:rFonts w:ascii="Arial" w:hAnsi="Arial" w:cs="Arial"/>
                <w:sz w:val="16"/>
                <w:szCs w:val="16"/>
              </w:rPr>
              <w:br/>
            </w:r>
            <w:r w:rsidRPr="009278EC">
              <w:rPr>
                <w:rFonts w:ascii="Arial" w:hAnsi="Arial" w:cs="Arial"/>
                <w:sz w:val="16"/>
                <w:szCs w:val="16"/>
              </w:rPr>
              <w:br/>
              <w:t>También es coherente con la estrategia "Manejo Físico y Ecourbanismo"  dado que el mantenimiento de las áreas restauradas promueve protección y de ecosistemas estratégicos, particularmente ronda hidráulica y ZMPA de quebradas intervenidas por la SDA promoviendo el manejo adecuado de la biodiversidad y de la oferta de bienes y servicios ambientales.  Los siguientes contratos no corresponden a una actividad específica, sin embargo aportan al cumplimiento de la meta "Recuperación ecológica y paisajística de 57 Km. de rondas y ZMPA de las microcuencas de los ríos Fucha, Salitre, Tunjuelo y Torca": 1180/2015 - 794/2015 - 1129/2015 - 1162/2015.</w:t>
            </w:r>
          </w:p>
        </w:tc>
      </w:tr>
      <w:tr w:rsidR="009278EC" w:rsidRPr="009278EC" w:rsidTr="009278EC">
        <w:trPr>
          <w:trHeight w:val="1002"/>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Recuperar integralmente 40 hectáreas de humedales</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6. Evaluar y hacer seguimiento de los procesos de intervención físico-biótica desarrollados en PEDH.</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Se realizó la evaluación y seguimiento de los procesos de intervención físico-biótica desarrollados en PEDH, así:</w:t>
            </w:r>
            <w:r w:rsidRPr="009278EC">
              <w:rPr>
                <w:rFonts w:ascii="Arial" w:hAnsi="Arial" w:cs="Arial"/>
                <w:sz w:val="16"/>
                <w:szCs w:val="16"/>
              </w:rPr>
              <w:br/>
              <w:t xml:space="preserve">* PEDH Techo: Elaboración del documento sobre la relación entre el área de ocupación ilegal del PEDH de Techo y la zonificación del PMA (Resolución SDA 4573 de 2009), como insumo para el informe técnico de soporte para imposición del proceso sancionatorio. </w:t>
            </w:r>
            <w:r w:rsidRPr="009278EC">
              <w:rPr>
                <w:rFonts w:ascii="Arial" w:hAnsi="Arial" w:cs="Arial"/>
                <w:sz w:val="16"/>
                <w:szCs w:val="16"/>
              </w:rPr>
              <w:br/>
              <w:t xml:space="preserve">* PEDH Tibanica: Informe de avance al cumplimiento del plan de acción de la Alerta Naranja declarada para el PEDH Tibanica, el </w:t>
            </w:r>
            <w:r w:rsidRPr="009278EC">
              <w:rPr>
                <w:rFonts w:ascii="Arial" w:hAnsi="Arial" w:cs="Arial"/>
                <w:sz w:val="16"/>
                <w:szCs w:val="16"/>
              </w:rPr>
              <w:lastRenderedPageBreak/>
              <w:t>cual contiene el seguimiento de la obra de reconformación hidrogeomorfológica y restauración ecológica de dicho ecosistema y la ejecución de la primera fase de las obras de adecuación hidráulica y ambiental priorizadas.</w:t>
            </w:r>
            <w:r w:rsidRPr="009278EC">
              <w:rPr>
                <w:rFonts w:ascii="Arial" w:hAnsi="Arial" w:cs="Arial"/>
                <w:sz w:val="16"/>
                <w:szCs w:val="16"/>
              </w:rPr>
              <w:br/>
              <w:t>* PEDH Juan Amarillo: Se realizó Informe Técnico desde la Subdirección de Ecosistemas y Ruralidad sobre los diseños presentados por la Alcaldía Local de Suba para la implementación del sistema de biotratamiento en el brazo del PEDH Juan Amarillo y se  realizó acompañamiento y seguimiento al operativo de recolección de Semovientes, Caninos,  RCD, y de recuperación de espacio público en dicho ecosistema.</w:t>
            </w:r>
            <w:r w:rsidRPr="009278EC">
              <w:rPr>
                <w:rFonts w:ascii="Arial" w:hAnsi="Arial" w:cs="Arial"/>
                <w:sz w:val="16"/>
                <w:szCs w:val="16"/>
              </w:rPr>
              <w:br/>
              <w:t>* PEDH El Burro: Revisión de los documentos técnicos remitidos por la consultoría que se encuentra ejecutando las obras de reconformación hidrogeomorfológica en el PEDH El Burro, relacionada con la propuesta de disposición de lodos en el ecosistema; Se realizó el acompañamiento por parte de la SDA en la entrega de las obras de la fase 3 de la reconformación hidrogeomorfológica de este ecosistema. Acompañamiento con visitas técnicas para la propuesta de adecuación en el humedal. Informe Técnico sobre el manejo de lodos y RCD producto de la excavación en el PEDH El Burro.</w:t>
            </w:r>
            <w:r w:rsidRPr="009278EC">
              <w:rPr>
                <w:rFonts w:ascii="Arial" w:hAnsi="Arial" w:cs="Arial"/>
                <w:sz w:val="16"/>
                <w:szCs w:val="16"/>
              </w:rPr>
              <w:br/>
              <w:t xml:space="preserve">* PEDH Jaboque: Acompañamientos con visitas técnicas por parte de la SER para la propuesta de reconformación hidrogeomorfológica y rehabilitación de hábitats acuáticos en el PEDH Jaboque. Igualmente se continuó con el seguimiento al proceso para la recolección de RCD y para la propuesta de reconformación hidrogeomorfológica y rehabilitación de hábitats acuáticos en el humedal Jaboque. </w:t>
            </w:r>
            <w:r w:rsidRPr="009278EC">
              <w:rPr>
                <w:rFonts w:ascii="Arial" w:hAnsi="Arial" w:cs="Arial"/>
                <w:sz w:val="16"/>
                <w:szCs w:val="16"/>
              </w:rPr>
              <w:br/>
              <w:t xml:space="preserve">* PEDH La Conejera: Respecto al seguimiento de los procesos de intervención físico - biótica, se continuó con el seguimiento al </w:t>
            </w:r>
            <w:r w:rsidRPr="009278EC">
              <w:rPr>
                <w:rFonts w:ascii="Arial" w:hAnsi="Arial" w:cs="Arial"/>
                <w:sz w:val="16"/>
                <w:szCs w:val="16"/>
              </w:rPr>
              <w:lastRenderedPageBreak/>
              <w:t>proceso de contratación para el cerramiento del humedal La Conejera.</w:t>
            </w:r>
          </w:p>
        </w:tc>
        <w:tc>
          <w:tcPr>
            <w:tcW w:w="170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Conservación y Adecuado Manejo de la Fauna y la Flora</w:t>
            </w:r>
          </w:p>
        </w:tc>
        <w:tc>
          <w:tcPr>
            <w:tcW w:w="1559"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Cooperación y Coordinación Interinstitucional</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502/2015</w:t>
            </w:r>
            <w:r w:rsidRPr="009278EC">
              <w:rPr>
                <w:rFonts w:ascii="Arial" w:hAnsi="Arial" w:cs="Arial"/>
                <w:sz w:val="16"/>
                <w:szCs w:val="16"/>
              </w:rPr>
              <w:br/>
              <w:t xml:space="preserve">2. 1164/2015                             </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Las actividades guardan coherencia con el objetivo "Conservación y Adecuado Manejo de la Fauna y la Flora" dado que los lineamientos buscan la preservación e incremento de la riqueza biológica del territorio distrital, haciendo control de la explotación ilegal de la diversidad en el distrito, generando alternativas de conectividad y restauración de las áreas urbanas y rurales del distrito, de esta </w:t>
            </w:r>
            <w:r w:rsidRPr="009278EC">
              <w:rPr>
                <w:rFonts w:ascii="Arial" w:hAnsi="Arial" w:cs="Arial"/>
                <w:sz w:val="16"/>
                <w:szCs w:val="16"/>
              </w:rPr>
              <w:lastRenderedPageBreak/>
              <w:t>manera mejorando la calidad ambiental y paisajistica de la estructura ecológica distrital. Además,  guarda coherencia y concordancia con la estrategia "Cooperación y Coordinación Interinstitucional" debido a que la actividad se desarrolló de manera conjunta con otras entidades tales como Alcadías Locales, Empresa de Acueducto, Alcantarillado y Aseo de Bogotá, Jardin Botánico José Celestino Mútis, IDIGER y la Corporación Autonoma Regional de Cundinamarca. Con quienes se trabajó articuladamente, para la protección de los humedales. De esta coordinación se generaron acciones de control y manejo de las problematicas dentro de estas áreas, con el fin de mejorar su calidad ambiental.  El contrato  1019/2015 no corresponde  a una actividad específica sin embargo aporta al cumplimiento de la meta “Recuperar integralmente 40 hectáreas de humedales”.</w:t>
            </w:r>
          </w:p>
        </w:tc>
      </w:tr>
      <w:tr w:rsidR="009278EC" w:rsidRPr="009278EC" w:rsidTr="009278EC">
        <w:trPr>
          <w:trHeight w:val="2100"/>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7. Generar los insumos técnicos para aprobación y seguimiento de PMA, Alertas Ambientales, Medidas de Protección</w:t>
            </w:r>
            <w:proofErr w:type="gramStart"/>
            <w:r w:rsidRPr="009278EC">
              <w:rPr>
                <w:rFonts w:ascii="Arial" w:hAnsi="Arial" w:cs="Arial"/>
                <w:sz w:val="16"/>
                <w:szCs w:val="16"/>
              </w:rPr>
              <w:t>,identificación</w:t>
            </w:r>
            <w:proofErr w:type="gramEnd"/>
            <w:r w:rsidRPr="009278EC">
              <w:rPr>
                <w:rFonts w:ascii="Arial" w:hAnsi="Arial" w:cs="Arial"/>
                <w:sz w:val="16"/>
                <w:szCs w:val="16"/>
              </w:rPr>
              <w:t xml:space="preserve"> y ampliaciones en áreas de ecosistemas humedal.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Se generaron los siguientes insumos: </w:t>
            </w:r>
            <w:r w:rsidRPr="009278EC">
              <w:rPr>
                <w:rFonts w:ascii="Arial" w:hAnsi="Arial" w:cs="Arial"/>
                <w:sz w:val="16"/>
                <w:szCs w:val="16"/>
              </w:rPr>
              <w:br/>
              <w:t xml:space="preserve">* Apoyo técnico para la aprobación de los PMA de los PEDH Jaboque, Torca y Guaymaral, Meandro del Say,  mediante Resoluciones Conjuntas CAR-SDA 01, 02 y 03 respectivamente, y Resolución SDA 096 para el caso del PEDH La Conejera. </w:t>
            </w:r>
            <w:r w:rsidRPr="009278EC">
              <w:rPr>
                <w:rFonts w:ascii="Arial" w:hAnsi="Arial" w:cs="Arial"/>
                <w:sz w:val="16"/>
                <w:szCs w:val="16"/>
              </w:rPr>
              <w:br/>
              <w:t>* Elaboración de los informes Técnicos para áreas aledañas a los PEDH Jaboque y Torca y Guaymaral con el objeto de emitir medidas de protección para dichos sectores.</w:t>
            </w:r>
            <w:r w:rsidRPr="009278EC">
              <w:rPr>
                <w:rFonts w:ascii="Arial" w:hAnsi="Arial" w:cs="Arial"/>
                <w:sz w:val="16"/>
                <w:szCs w:val="16"/>
              </w:rPr>
              <w:br/>
              <w:t>* Elaboración del informe técnico que soporta la ampliación del PEDH La Conejera con la inclusión del sector "Biozona 5".</w:t>
            </w:r>
            <w:r w:rsidRPr="009278EC">
              <w:rPr>
                <w:rFonts w:ascii="Arial" w:hAnsi="Arial" w:cs="Arial"/>
                <w:sz w:val="16"/>
                <w:szCs w:val="16"/>
              </w:rPr>
              <w:br/>
              <w:t>* Elaboración del informe técnico que justifica la declaratoria de alertas ambientales en los PEDH Jaboque, Juan Amarillo, Torca y Guaymaral, Capellanía y El Salitre.</w:t>
            </w:r>
            <w:r w:rsidRPr="009278EC">
              <w:rPr>
                <w:rFonts w:ascii="Arial" w:hAnsi="Arial" w:cs="Arial"/>
                <w:sz w:val="16"/>
                <w:szCs w:val="16"/>
              </w:rPr>
              <w:br/>
              <w:t>* Construcción de los planes de acción como instrumentos operativos de las alertas amarillas declaradas para los PEDH Jaboque, Juan Amarillo, Torca y Guaymaral, Capellanía y El Salitre.</w:t>
            </w:r>
            <w:r w:rsidRPr="009278EC">
              <w:rPr>
                <w:rFonts w:ascii="Arial" w:hAnsi="Arial" w:cs="Arial"/>
                <w:sz w:val="16"/>
                <w:szCs w:val="16"/>
              </w:rPr>
              <w:br/>
              <w:t>* Insumos Técnicos para la modificación del Acuerdo 487 de 2011.</w:t>
            </w:r>
            <w:r w:rsidRPr="009278EC">
              <w:rPr>
                <w:rFonts w:ascii="Arial" w:hAnsi="Arial" w:cs="Arial"/>
                <w:sz w:val="16"/>
                <w:szCs w:val="16"/>
              </w:rPr>
              <w:br/>
              <w:t>* Elaboración de Planes Operativos por PEDH para el seguimiento de las acciones de recuperación.</w:t>
            </w:r>
            <w:r w:rsidRPr="009278EC">
              <w:rPr>
                <w:rFonts w:ascii="Arial" w:hAnsi="Arial" w:cs="Arial"/>
                <w:sz w:val="16"/>
                <w:szCs w:val="16"/>
              </w:rPr>
              <w:br/>
              <w:t xml:space="preserve">* Revisión y ajustes a los Estudios Previos para la contratación de la formulación de los PMA de los PEDH El Salitre, Tunjo y La Isla. </w:t>
            </w:r>
            <w:r w:rsidRPr="009278EC">
              <w:rPr>
                <w:rFonts w:ascii="Arial" w:hAnsi="Arial" w:cs="Arial"/>
                <w:sz w:val="16"/>
                <w:szCs w:val="16"/>
              </w:rPr>
              <w:br/>
              <w:t>* Elaboración de Estudios Previos para la recolección de RCDS en el PEDH Jaboque.</w:t>
            </w:r>
            <w:r w:rsidRPr="009278EC">
              <w:rPr>
                <w:rFonts w:ascii="Arial" w:hAnsi="Arial" w:cs="Arial"/>
                <w:sz w:val="16"/>
                <w:szCs w:val="16"/>
              </w:rPr>
              <w:br/>
            </w:r>
            <w:r w:rsidRPr="009278EC">
              <w:rPr>
                <w:rFonts w:ascii="Arial" w:hAnsi="Arial" w:cs="Arial"/>
                <w:sz w:val="16"/>
                <w:szCs w:val="16"/>
              </w:rPr>
              <w:lastRenderedPageBreak/>
              <w:t xml:space="preserve">* Apoyo Técnico a la construcción del Plan de Consolidación de la Estructura Ecológica Principal del D.C. </w:t>
            </w:r>
            <w:r w:rsidRPr="009278EC">
              <w:rPr>
                <w:rFonts w:ascii="Arial" w:hAnsi="Arial" w:cs="Arial"/>
                <w:sz w:val="16"/>
                <w:szCs w:val="16"/>
              </w:rPr>
              <w:br/>
              <w:t>* Coordinación de los eventos desarrollados en el marco de la campaña "Al Alma del Humedal".</w:t>
            </w:r>
            <w:r w:rsidRPr="009278EC">
              <w:rPr>
                <w:rFonts w:ascii="Arial" w:hAnsi="Arial" w:cs="Arial"/>
                <w:sz w:val="16"/>
                <w:szCs w:val="16"/>
              </w:rPr>
              <w:br/>
              <w:t xml:space="preserve">* Entrega de  Informe final  al cumplimiento del plan de acción de la Alerta Naranja declarada para el PEDH Tibanica. </w:t>
            </w:r>
            <w:r w:rsidRPr="009278EC">
              <w:rPr>
                <w:rFonts w:ascii="Arial" w:hAnsi="Arial" w:cs="Arial"/>
                <w:sz w:val="16"/>
                <w:szCs w:val="16"/>
              </w:rPr>
              <w:br/>
              <w:t>* Elaboración del documento para soportar la nueva declaratoria de alerta Naranja en el PEDH Tibanica.</w:t>
            </w:r>
            <w:r w:rsidRPr="009278EC">
              <w:rPr>
                <w:rFonts w:ascii="Arial" w:hAnsi="Arial" w:cs="Arial"/>
                <w:sz w:val="16"/>
                <w:szCs w:val="16"/>
              </w:rPr>
              <w:br/>
              <w:t>* Seguimiento a los  Planes de acción de las alertas Naranja y Amarilla.</w:t>
            </w:r>
            <w:r w:rsidRPr="009278EC">
              <w:rPr>
                <w:rFonts w:ascii="Arial" w:hAnsi="Arial" w:cs="Arial"/>
                <w:sz w:val="16"/>
                <w:szCs w:val="16"/>
              </w:rPr>
              <w:br/>
              <w:t>* Seguimiento a los Planes Operativos por PEDH para el seguimiento de las acciones de recuperación.</w:t>
            </w:r>
            <w:r w:rsidRPr="009278EC">
              <w:rPr>
                <w:rFonts w:ascii="Arial" w:hAnsi="Arial" w:cs="Arial"/>
                <w:sz w:val="16"/>
                <w:szCs w:val="16"/>
              </w:rPr>
              <w:br/>
              <w:t>* Se realizó gestión ante el ICANH para el cerramiento a contratar por parte de la Alcaldía Local de Engativá.</w:t>
            </w:r>
            <w:r w:rsidRPr="009278EC">
              <w:rPr>
                <w:rFonts w:ascii="Arial" w:hAnsi="Arial" w:cs="Arial"/>
                <w:sz w:val="16"/>
                <w:szCs w:val="16"/>
              </w:rPr>
              <w:br/>
              <w:t>* Se avanzó el Plan de Acción de la Política de Humedales del Distrito Capital para ajustes y  posterior aprobación.</w:t>
            </w:r>
            <w:r w:rsidRPr="009278EC">
              <w:rPr>
                <w:rFonts w:ascii="Arial" w:hAnsi="Arial" w:cs="Arial"/>
                <w:sz w:val="16"/>
                <w:szCs w:val="16"/>
              </w:rPr>
              <w:br/>
              <w:t>* Realización de los eventos en el marco de los días de halloween y de navidad en los humedales.</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502/2015</w:t>
            </w:r>
            <w:r w:rsidRPr="009278EC">
              <w:rPr>
                <w:rFonts w:ascii="Arial" w:hAnsi="Arial" w:cs="Arial"/>
                <w:sz w:val="16"/>
                <w:szCs w:val="16"/>
              </w:rPr>
              <w:br/>
              <w:t xml:space="preserve">2. 1164/2015 </w:t>
            </w:r>
            <w:r w:rsidRPr="009278EC">
              <w:rPr>
                <w:rFonts w:ascii="Arial" w:hAnsi="Arial" w:cs="Arial"/>
                <w:sz w:val="16"/>
                <w:szCs w:val="16"/>
              </w:rPr>
              <w:br/>
              <w:t>3. 1234/2015            4. 1195/2015   5.1167/2015              6. 1163/2015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Las actividades guardan coherencia con el objetivo "Conservación y Adecuado Manejo de la Fauna y la Flora" dado que los lineamientos buscan la preservación e incremento de la riqueza biológica del territorio distrital, haciendo control de la explotación ilegal de la diversidad en el distrito, generando alternativas de conectividad y restauración de las áreas urbanas y rurales del distrito, de esta manera mejorando la calidad ambiental y paisajistica de la estructura ecológica distrital. Además,  guarda coherencia y concordancia con la estrategia "Cooperación y Coordinación Interinstitucional", ya que se trabajo articuladamente con otras entidades como  la Corporación Autonoma Regional, Acueducto de Bogotá y Jardin Botánico de Bogotá, con quienes se hizo transferencia de información generada conjuntamente e individualmente. Como resultado de esta articulación, se genero apoyo técnicos, con el fin de conservar la diversidad en los Parques Ecológicos Distritales de Humedal. El contrato 1019/2015 no corresponde  a una actividad específica  sin </w:t>
            </w:r>
            <w:r w:rsidRPr="009278EC">
              <w:rPr>
                <w:rFonts w:ascii="Arial" w:hAnsi="Arial" w:cs="Arial"/>
                <w:sz w:val="16"/>
                <w:szCs w:val="16"/>
              </w:rPr>
              <w:lastRenderedPageBreak/>
              <w:t>embargo aporta al cumplimiento de la meta “Recuperar integralmente 40 hectáreas de humedales”.</w:t>
            </w:r>
          </w:p>
        </w:tc>
      </w:tr>
      <w:tr w:rsidR="009278EC" w:rsidRPr="009278EC" w:rsidTr="009278EC">
        <w:trPr>
          <w:trHeight w:val="1380"/>
        </w:trPr>
        <w:tc>
          <w:tcPr>
            <w:tcW w:w="122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Intervenir mediante procesos de recuperación ambiental y paisajística 8 hectáreas de la ronda del río Tunjuelo en áreas urbanas </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10. Realizar acciones de recuperación ecológica en la Subcuenca Tunjuelo.</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Se terminó la plantación de 5,613 árboles en los sectores de Boitá, Jaqueline, Villa del Río y Guadalupe.</w:t>
            </w:r>
          </w:p>
        </w:tc>
        <w:tc>
          <w:tcPr>
            <w:tcW w:w="170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Ocupación Armónica y Equilibrada del Territorio </w:t>
            </w:r>
          </w:p>
        </w:tc>
        <w:tc>
          <w:tcPr>
            <w:tcW w:w="155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1. 999 de 2013 </w:t>
            </w:r>
            <w:r w:rsidRPr="009278EC">
              <w:rPr>
                <w:rFonts w:ascii="Arial" w:hAnsi="Arial" w:cs="Arial"/>
                <w:sz w:val="16"/>
                <w:szCs w:val="16"/>
              </w:rPr>
              <w:br/>
              <w:t>2. 805/2015</w:t>
            </w:r>
            <w:r w:rsidRPr="009278EC">
              <w:rPr>
                <w:rFonts w:ascii="Arial" w:hAnsi="Arial" w:cs="Arial"/>
                <w:sz w:val="16"/>
                <w:szCs w:val="16"/>
              </w:rPr>
              <w:br/>
              <w:t>3. 936/2015</w:t>
            </w:r>
            <w:r w:rsidRPr="009278EC">
              <w:rPr>
                <w:rFonts w:ascii="Arial" w:hAnsi="Arial" w:cs="Arial"/>
                <w:sz w:val="16"/>
                <w:szCs w:val="16"/>
              </w:rPr>
              <w:br/>
              <w:t>4. 925/2015</w:t>
            </w:r>
            <w:r w:rsidRPr="009278EC">
              <w:rPr>
                <w:rFonts w:ascii="Arial" w:hAnsi="Arial" w:cs="Arial"/>
                <w:sz w:val="16"/>
                <w:szCs w:val="16"/>
              </w:rPr>
              <w:br/>
              <w:t>5. 1022/2015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Ésta actividad es concordante con el objetivo “</w:t>
            </w:r>
            <w:r w:rsidRPr="009278EC">
              <w:rPr>
                <w:rFonts w:ascii="Arial" w:hAnsi="Arial" w:cs="Arial"/>
                <w:b/>
                <w:bCs/>
                <w:sz w:val="16"/>
                <w:szCs w:val="16"/>
              </w:rPr>
              <w:t xml:space="preserve">Ocupación Armónica y Equilibrada del Territorio” </w:t>
            </w:r>
            <w:r w:rsidRPr="009278EC">
              <w:rPr>
                <w:rFonts w:ascii="Arial" w:hAnsi="Arial" w:cs="Arial"/>
                <w:sz w:val="16"/>
                <w:szCs w:val="16"/>
              </w:rPr>
              <w:t>ya que las acciones se fundamentan en la recuperación biológica de los ecosistemas como corredores riparios y ecosistemas estratégicos  en función de la conectividad entre los cuerpos de agua y los cerros orientales y como espacios de referencia en la articulación urbana con los ecosistemas.</w:t>
            </w:r>
            <w:r w:rsidRPr="009278EC">
              <w:rPr>
                <w:rFonts w:ascii="Arial" w:hAnsi="Arial" w:cs="Arial"/>
                <w:sz w:val="16"/>
                <w:szCs w:val="16"/>
              </w:rPr>
              <w:br/>
            </w:r>
            <w:r w:rsidRPr="009278EC">
              <w:rPr>
                <w:rFonts w:ascii="Arial" w:hAnsi="Arial" w:cs="Arial"/>
                <w:sz w:val="16"/>
                <w:szCs w:val="16"/>
              </w:rPr>
              <w:br/>
            </w:r>
            <w:r w:rsidRPr="009278EC">
              <w:rPr>
                <w:rFonts w:ascii="Arial" w:hAnsi="Arial" w:cs="Arial"/>
                <w:sz w:val="16"/>
                <w:szCs w:val="16"/>
              </w:rPr>
              <w:br/>
            </w:r>
            <w:r w:rsidRPr="009278EC">
              <w:rPr>
                <w:rFonts w:ascii="Arial" w:hAnsi="Arial" w:cs="Arial"/>
                <w:sz w:val="16"/>
                <w:szCs w:val="16"/>
              </w:rPr>
              <w:lastRenderedPageBreak/>
              <w:t>También es coherente con la estrategia "Manejo Físico y Ecourbanismo"  dado que la subcuenca Tunjuelo tiene gran  influencia en la zona urbana por su posición geográfica dentro del sistema hidrico del Distrito, por lo anterior las actividades realizadas en el marco de la recuperación ambiental de éste ecosistema permiten mejorar la calidad ambiental de la subcuenca y la calidad de vida de las comunidades influenciadas; adicionalmente aportando a la recuperación integral del río Bogotá al ser uno de sus principales afluentes.</w:t>
            </w:r>
          </w:p>
        </w:tc>
      </w:tr>
      <w:tr w:rsidR="009278EC" w:rsidRPr="009278EC" w:rsidTr="009278EC">
        <w:trPr>
          <w:trHeight w:val="1002"/>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Recuperación ecológica participativa de 520 hectáreas en suelo de protección </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12. Implementar las acciones orientadas a la producción de material vegetal en los viveros de la SDA y los estudios para el mejoramiento del modelo de gestión actual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Actualmente la SDA cuenta con 4 viveros activos de los cuales 4 de ellos están en etapa de producción: </w:t>
            </w:r>
            <w:r w:rsidRPr="009278EC">
              <w:rPr>
                <w:rFonts w:ascii="Arial" w:hAnsi="Arial" w:cs="Arial"/>
                <w:sz w:val="16"/>
                <w:szCs w:val="16"/>
              </w:rPr>
              <w:br/>
              <w:t>* Biter actualmente están en proceso de producción 12.000 individuos de especies de rápido crecimiento</w:t>
            </w:r>
            <w:r w:rsidRPr="009278EC">
              <w:rPr>
                <w:rFonts w:ascii="Arial" w:hAnsi="Arial" w:cs="Arial"/>
                <w:sz w:val="16"/>
                <w:szCs w:val="16"/>
              </w:rPr>
              <w:br/>
              <w:t>* PEDMEN: En vivero de Entrenubes con 21.169 individuos en producción de 26 especies y con un total de 8606 individuos para plantación.</w:t>
            </w:r>
            <w:r w:rsidRPr="009278EC">
              <w:rPr>
                <w:rFonts w:ascii="Arial" w:hAnsi="Arial" w:cs="Arial"/>
                <w:sz w:val="16"/>
                <w:szCs w:val="16"/>
              </w:rPr>
              <w:br/>
              <w:t>* Soratama cuenta con una producción de 20.038 individuos de 46 especies, de los cuales 13278 están disponibles para plantación.</w:t>
            </w:r>
            <w:r w:rsidRPr="009278EC">
              <w:rPr>
                <w:rFonts w:ascii="Arial" w:hAnsi="Arial" w:cs="Arial"/>
                <w:sz w:val="16"/>
                <w:szCs w:val="16"/>
              </w:rPr>
              <w:br/>
              <w:t>* Humedal La Vaca el cual es el primer vivero dedicado a especies nativas de humedal el cual cuenta con 2.000 individuos en crecimiento y 2.000 listos para plantación.</w:t>
            </w:r>
          </w:p>
        </w:tc>
        <w:tc>
          <w:tcPr>
            <w:tcW w:w="170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Conservación y Adecuado Manejo de la Fauna y la Flora</w:t>
            </w:r>
          </w:p>
        </w:tc>
        <w:tc>
          <w:tcPr>
            <w:tcW w:w="1559"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hideMark/>
          </w:tcPr>
          <w:p w:rsidR="009278EC" w:rsidRPr="009278EC" w:rsidRDefault="009278EC" w:rsidP="009278EC">
            <w:pPr>
              <w:spacing w:after="160"/>
              <w:jc w:val="both"/>
              <w:rPr>
                <w:rFonts w:ascii="Arial" w:hAnsi="Arial" w:cs="Arial"/>
                <w:sz w:val="16"/>
                <w:szCs w:val="16"/>
              </w:rPr>
            </w:pPr>
            <w:r w:rsidRPr="009278EC">
              <w:rPr>
                <w:rFonts w:ascii="Arial" w:hAnsi="Arial" w:cs="Arial"/>
                <w:sz w:val="16"/>
                <w:szCs w:val="16"/>
              </w:rPr>
              <w:t>1. 865/2015</w:t>
            </w:r>
            <w:r w:rsidRPr="009278EC">
              <w:rPr>
                <w:rFonts w:ascii="Arial" w:hAnsi="Arial" w:cs="Arial"/>
                <w:sz w:val="16"/>
                <w:szCs w:val="16"/>
              </w:rPr>
              <w:br/>
              <w:t>2. 976/2015</w:t>
            </w:r>
            <w:r w:rsidRPr="009278EC">
              <w:rPr>
                <w:rFonts w:ascii="Arial" w:hAnsi="Arial" w:cs="Arial"/>
                <w:sz w:val="16"/>
                <w:szCs w:val="16"/>
              </w:rPr>
              <w:br/>
              <w:t>3. 958/2015</w:t>
            </w:r>
            <w:r w:rsidRPr="009278EC">
              <w:rPr>
                <w:rFonts w:ascii="Arial" w:hAnsi="Arial" w:cs="Arial"/>
                <w:sz w:val="16"/>
                <w:szCs w:val="16"/>
              </w:rPr>
              <w:br/>
              <w:t>4. 844/2015</w:t>
            </w:r>
            <w:r w:rsidRPr="009278EC">
              <w:rPr>
                <w:rFonts w:ascii="Arial" w:hAnsi="Arial" w:cs="Arial"/>
                <w:sz w:val="16"/>
                <w:szCs w:val="16"/>
              </w:rPr>
              <w:br/>
              <w:t>5. 839/2015</w:t>
            </w:r>
            <w:r w:rsidRPr="009278EC">
              <w:rPr>
                <w:rFonts w:ascii="Arial" w:hAnsi="Arial" w:cs="Arial"/>
                <w:sz w:val="16"/>
                <w:szCs w:val="16"/>
              </w:rPr>
              <w:br/>
              <w:t>6. 841/2015</w:t>
            </w:r>
            <w:r w:rsidRPr="009278EC">
              <w:rPr>
                <w:rFonts w:ascii="Arial" w:hAnsi="Arial" w:cs="Arial"/>
                <w:sz w:val="16"/>
                <w:szCs w:val="16"/>
              </w:rPr>
              <w:br/>
              <w:t>7. 843/2015</w:t>
            </w:r>
            <w:r w:rsidRPr="009278EC">
              <w:rPr>
                <w:rFonts w:ascii="Arial" w:hAnsi="Arial" w:cs="Arial"/>
                <w:sz w:val="16"/>
                <w:szCs w:val="16"/>
              </w:rPr>
              <w:br/>
              <w:t>8. 1133/2015</w:t>
            </w:r>
            <w:r w:rsidRPr="009278EC">
              <w:rPr>
                <w:rFonts w:ascii="Arial" w:hAnsi="Arial" w:cs="Arial"/>
                <w:sz w:val="16"/>
                <w:szCs w:val="16"/>
              </w:rPr>
              <w:br/>
              <w:t xml:space="preserve">9. 934/2015                           </w:t>
            </w:r>
            <w:r w:rsidRPr="009278EC">
              <w:rPr>
                <w:rFonts w:ascii="Arial" w:hAnsi="Arial" w:cs="Arial"/>
                <w:sz w:val="16"/>
                <w:szCs w:val="16"/>
              </w:rPr>
              <w:br/>
              <w:t>10. 1068/2015</w:t>
            </w:r>
          </w:p>
        </w:tc>
        <w:tc>
          <w:tcPr>
            <w:tcW w:w="3480" w:type="dxa"/>
            <w:hideMark/>
          </w:tcPr>
          <w:p w:rsidR="009278EC" w:rsidRPr="009278EC" w:rsidRDefault="009278EC" w:rsidP="009278EC">
            <w:pPr>
              <w:spacing w:after="160"/>
              <w:jc w:val="both"/>
              <w:rPr>
                <w:rFonts w:ascii="Arial" w:hAnsi="Arial" w:cs="Arial"/>
                <w:sz w:val="16"/>
                <w:szCs w:val="16"/>
              </w:rPr>
            </w:pPr>
            <w:r w:rsidRPr="009278EC">
              <w:rPr>
                <w:rFonts w:ascii="Arial" w:hAnsi="Arial" w:cs="Arial"/>
                <w:sz w:val="16"/>
                <w:szCs w:val="16"/>
              </w:rPr>
              <w:t xml:space="preserve">La producción y propagación de material vegetal en viveros de la SDA, permiten aportar al objetivo de “Conservación y Adecuado Manejo de la Fauna y la Flora” y a la estrategia "Manejo Físico y Ecourbanismo", ya que se aporta al suministro de material vegetal nativo de alta calidad para los procesos de restauración, rehabilitación o recuperación y para la sostenibilidad de los mismos, fortaleciendo la riqueza biológica del territorio distrital con una sólida conectividad estructural y funcional en la EEP. Los siguientes contratos no corresponden a una actividad específica, sin embargo aportan al cumplimiento de la meta: Recuperación ecológica participativa de 520 hectáreas en suelo de protección </w:t>
            </w:r>
            <w:r w:rsidRPr="009278EC">
              <w:rPr>
                <w:rFonts w:ascii="Arial" w:hAnsi="Arial" w:cs="Arial"/>
                <w:sz w:val="16"/>
                <w:szCs w:val="16"/>
              </w:rPr>
              <w:br/>
              <w:t>1. 174/2015</w:t>
            </w:r>
            <w:r w:rsidRPr="009278EC">
              <w:rPr>
                <w:rFonts w:ascii="Arial" w:hAnsi="Arial" w:cs="Arial"/>
                <w:sz w:val="16"/>
                <w:szCs w:val="16"/>
              </w:rPr>
              <w:br/>
            </w:r>
            <w:r w:rsidRPr="009278EC">
              <w:rPr>
                <w:rFonts w:ascii="Arial" w:hAnsi="Arial" w:cs="Arial"/>
                <w:sz w:val="16"/>
                <w:szCs w:val="16"/>
              </w:rPr>
              <w:lastRenderedPageBreak/>
              <w:t>2. 187/2015</w:t>
            </w:r>
            <w:r w:rsidRPr="009278EC">
              <w:rPr>
                <w:rFonts w:ascii="Arial" w:hAnsi="Arial" w:cs="Arial"/>
                <w:sz w:val="16"/>
                <w:szCs w:val="16"/>
              </w:rPr>
              <w:br/>
              <w:t>3. 1033/2015</w:t>
            </w:r>
            <w:r w:rsidRPr="009278EC">
              <w:rPr>
                <w:rFonts w:ascii="Arial" w:hAnsi="Arial" w:cs="Arial"/>
                <w:sz w:val="16"/>
                <w:szCs w:val="16"/>
              </w:rPr>
              <w:br/>
              <w:t>4.1028 /2015</w:t>
            </w:r>
            <w:r w:rsidRPr="009278EC">
              <w:rPr>
                <w:rFonts w:ascii="Arial" w:hAnsi="Arial" w:cs="Arial"/>
                <w:sz w:val="16"/>
                <w:szCs w:val="16"/>
              </w:rPr>
              <w:br/>
              <w:t>5. 1217/2015</w:t>
            </w:r>
            <w:r w:rsidRPr="009278EC">
              <w:rPr>
                <w:rFonts w:ascii="Arial" w:hAnsi="Arial" w:cs="Arial"/>
                <w:sz w:val="16"/>
                <w:szCs w:val="16"/>
              </w:rPr>
              <w:br/>
              <w:t>6. 1336/2015</w:t>
            </w:r>
            <w:r w:rsidRPr="009278EC">
              <w:rPr>
                <w:rFonts w:ascii="Arial" w:hAnsi="Arial" w:cs="Arial"/>
                <w:sz w:val="16"/>
                <w:szCs w:val="16"/>
              </w:rPr>
              <w:br/>
              <w:t>7. 182/2015</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13. Adelantar las acciones requeridas para la adecuación, mejoramiento y mantenimiento de los viveros administrados por la SDA.</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BITER: En el vivero se readecuaron las instalaciones y actualmente están en proceso de producción 12.000 individuos de especies de rápido crecimiento.</w:t>
            </w:r>
            <w:r w:rsidRPr="009278EC">
              <w:rPr>
                <w:rFonts w:ascii="Arial" w:hAnsi="Arial" w:cs="Arial"/>
                <w:sz w:val="16"/>
                <w:szCs w:val="16"/>
              </w:rPr>
              <w:br/>
              <w:t xml:space="preserve">PEDMEN: Se reacondicionaron algunas eras de crecimiento en el vivero Entrenubes. </w:t>
            </w:r>
            <w:r w:rsidRPr="009278EC">
              <w:rPr>
                <w:rFonts w:ascii="Arial" w:hAnsi="Arial" w:cs="Arial"/>
                <w:sz w:val="16"/>
                <w:szCs w:val="16"/>
              </w:rPr>
              <w:br/>
              <w:t>SORATAMA: Se fortaleció la infraestructura del vivero Soratama y se adelantaron acciones para el mejoramiento del suministro de agua de forma permanente, ésta actividad es liderada por la administración del aula.</w:t>
            </w:r>
            <w:r w:rsidRPr="009278EC">
              <w:rPr>
                <w:rFonts w:ascii="Arial" w:hAnsi="Arial" w:cs="Arial"/>
                <w:sz w:val="16"/>
                <w:szCs w:val="16"/>
              </w:rPr>
              <w:br/>
              <w:t xml:space="preserve">LA VACA: Se construyó el vivero en el PEDH La Vaca, se terminó la adecuación del sistema de riego para el área de invernadero y adecuó el área de crecimiento y rustificación de material vegetal. Actualmente está funcionando. </w:t>
            </w:r>
            <w:r w:rsidRPr="009278EC">
              <w:rPr>
                <w:rFonts w:ascii="Arial" w:hAnsi="Arial" w:cs="Arial"/>
                <w:sz w:val="16"/>
                <w:szCs w:val="16"/>
              </w:rPr>
              <w:br/>
              <w:t>TIBANICA: Se encuentra en construcción el vivero Tibanica.</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865/2015</w:t>
            </w:r>
            <w:r w:rsidRPr="009278EC">
              <w:rPr>
                <w:rFonts w:ascii="Arial" w:hAnsi="Arial" w:cs="Arial"/>
                <w:sz w:val="16"/>
                <w:szCs w:val="16"/>
              </w:rPr>
              <w:br/>
              <w:t>2. 976/2015</w:t>
            </w:r>
            <w:r w:rsidRPr="009278EC">
              <w:rPr>
                <w:rFonts w:ascii="Arial" w:hAnsi="Arial" w:cs="Arial"/>
                <w:sz w:val="16"/>
                <w:szCs w:val="16"/>
              </w:rPr>
              <w:br/>
              <w:t>3. 958/2015</w:t>
            </w:r>
            <w:r w:rsidRPr="009278EC">
              <w:rPr>
                <w:rFonts w:ascii="Arial" w:hAnsi="Arial" w:cs="Arial"/>
                <w:sz w:val="16"/>
                <w:szCs w:val="16"/>
              </w:rPr>
              <w:br/>
              <w:t>4. 844/2015</w:t>
            </w:r>
            <w:r w:rsidRPr="009278EC">
              <w:rPr>
                <w:rFonts w:ascii="Arial" w:hAnsi="Arial" w:cs="Arial"/>
                <w:sz w:val="16"/>
                <w:szCs w:val="16"/>
              </w:rPr>
              <w:br/>
              <w:t>5. 839/2015</w:t>
            </w:r>
            <w:r w:rsidRPr="009278EC">
              <w:rPr>
                <w:rFonts w:ascii="Arial" w:hAnsi="Arial" w:cs="Arial"/>
                <w:sz w:val="16"/>
                <w:szCs w:val="16"/>
              </w:rPr>
              <w:br/>
              <w:t>6. 841/2015</w:t>
            </w:r>
            <w:r w:rsidRPr="009278EC">
              <w:rPr>
                <w:rFonts w:ascii="Arial" w:hAnsi="Arial" w:cs="Arial"/>
                <w:sz w:val="16"/>
                <w:szCs w:val="16"/>
              </w:rPr>
              <w:br/>
              <w:t>7. 843/2015</w:t>
            </w:r>
            <w:r w:rsidRPr="009278EC">
              <w:rPr>
                <w:rFonts w:ascii="Arial" w:hAnsi="Arial" w:cs="Arial"/>
                <w:sz w:val="16"/>
                <w:szCs w:val="16"/>
              </w:rPr>
              <w:br/>
              <w:t>8. 1133/2015</w:t>
            </w:r>
            <w:r w:rsidRPr="009278EC">
              <w:rPr>
                <w:rFonts w:ascii="Arial" w:hAnsi="Arial" w:cs="Arial"/>
                <w:sz w:val="16"/>
                <w:szCs w:val="16"/>
              </w:rPr>
              <w:br/>
              <w:t>9. 934/2015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 EL adecuado estado de las instalaciones de los viveros de la SDA aportan a la “Conservación y Adecuado Manejo de la Fauna y la Flora” y con la estrategia "Manejo Físico y Ecourbanismo", ya que permite contar con material vegetal bajo condiciones adecuadas, con un índice de mortalidad bajo para generar proceso adecuados de adaptación en los ecosistemas donde se realicen los procesos. Los siguientes contratos no corresponden a una actividad específica, sin embargo aportan al cumplimiento de la meta: Recuperación ecológica participativa de 520 hectáreas en suelo de protección </w:t>
            </w:r>
            <w:r w:rsidRPr="009278EC">
              <w:rPr>
                <w:rFonts w:ascii="Arial" w:hAnsi="Arial" w:cs="Arial"/>
                <w:sz w:val="16"/>
                <w:szCs w:val="16"/>
              </w:rPr>
              <w:br/>
              <w:t>1. 174/2015</w:t>
            </w:r>
            <w:r w:rsidRPr="009278EC">
              <w:rPr>
                <w:rFonts w:ascii="Arial" w:hAnsi="Arial" w:cs="Arial"/>
                <w:sz w:val="16"/>
                <w:szCs w:val="16"/>
              </w:rPr>
              <w:br/>
              <w:t>2. 187/2015</w:t>
            </w:r>
            <w:r w:rsidRPr="009278EC">
              <w:rPr>
                <w:rFonts w:ascii="Arial" w:hAnsi="Arial" w:cs="Arial"/>
                <w:sz w:val="16"/>
                <w:szCs w:val="16"/>
              </w:rPr>
              <w:br/>
              <w:t>3. 1033/2015</w:t>
            </w:r>
            <w:r w:rsidRPr="009278EC">
              <w:rPr>
                <w:rFonts w:ascii="Arial" w:hAnsi="Arial" w:cs="Arial"/>
                <w:sz w:val="16"/>
                <w:szCs w:val="16"/>
              </w:rPr>
              <w:br/>
              <w:t>4.1028 /2015</w:t>
            </w:r>
            <w:r w:rsidRPr="009278EC">
              <w:rPr>
                <w:rFonts w:ascii="Arial" w:hAnsi="Arial" w:cs="Arial"/>
                <w:sz w:val="16"/>
                <w:szCs w:val="16"/>
              </w:rPr>
              <w:br/>
              <w:t>5. 1217/2015</w:t>
            </w:r>
            <w:r w:rsidRPr="009278EC">
              <w:rPr>
                <w:rFonts w:ascii="Arial" w:hAnsi="Arial" w:cs="Arial"/>
                <w:sz w:val="16"/>
                <w:szCs w:val="16"/>
              </w:rPr>
              <w:br/>
              <w:t>6. 1336/2015</w:t>
            </w:r>
            <w:r w:rsidRPr="009278EC">
              <w:rPr>
                <w:rFonts w:ascii="Arial" w:hAnsi="Arial" w:cs="Arial"/>
                <w:sz w:val="16"/>
                <w:szCs w:val="16"/>
              </w:rPr>
              <w:br/>
              <w:t>7. 182/2015</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14. Desarrollar los procesos de gestion predial para su adquisición a partir de los avaluos existentes y realizar la priorización y gestión para el avalúo de nuevos predios</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b/>
                <w:bCs/>
                <w:sz w:val="16"/>
                <w:szCs w:val="16"/>
              </w:rPr>
              <w:t>Parque Ecológico Distrital de Montaña Entre Nubes - PEDMEN</w:t>
            </w:r>
            <w:r w:rsidRPr="009278EC">
              <w:rPr>
                <w:rFonts w:ascii="Arial" w:hAnsi="Arial" w:cs="Arial"/>
                <w:sz w:val="16"/>
                <w:szCs w:val="16"/>
              </w:rPr>
              <w:br/>
              <w:t>Se identificó el folio de matrícula inmobiliaria y se recopiló los títulos (escrituras públicas. boletín) para  el estudio de títulos con tradición a veinte (20) años sobre el predio denominado “San José" ubicado en la Cuchilla del Gavilán, cuya área dentro del PEDMEN es 16,45 Hectáreas, recomendando iniciar el proceso de adquisición una vez se abra y liquide la sucesión del señor Alcibiades Morales.</w:t>
            </w:r>
            <w:r w:rsidRPr="009278EC">
              <w:rPr>
                <w:rFonts w:ascii="Arial" w:hAnsi="Arial" w:cs="Arial"/>
                <w:sz w:val="16"/>
                <w:szCs w:val="16"/>
              </w:rPr>
              <w:br/>
              <w:t xml:space="preserve">Se adelantó  el  concurso de méritos SDA-CM-071-2015 cuyo objeto es: Realizar el levantamiento topográfico, estudios de títulos y diagnostico socioeconómico de los predios que se encuentran en el sector “La Cuchilla El Gavilán” del PEDMEN para adelantar los levantamientos topográficos de 199.68 hectáreas aproximadamente y de 88 predios con la respectiva elaboración de sus estudios de títulos y su diagnóstico socioeconómico, que permitirá adelantar el proceso de gestión predial en esta área protegida. Éste concurso de mértitos se adjudicí añ consorcio Contrato 1425 de 2015 con el Consorcio Parque Ecológico </w:t>
            </w:r>
            <w:r w:rsidRPr="009278EC">
              <w:rPr>
                <w:rFonts w:ascii="Arial" w:hAnsi="Arial" w:cs="Arial"/>
                <w:sz w:val="16"/>
                <w:szCs w:val="16"/>
              </w:rPr>
              <w:br/>
              <w:t xml:space="preserve">* CONTRATO INTERADMINISTRATIVO 1483 DE 2014 </w:t>
            </w:r>
            <w:r w:rsidRPr="009278EC">
              <w:rPr>
                <w:rFonts w:ascii="Arial" w:hAnsi="Arial" w:cs="Arial"/>
                <w:sz w:val="16"/>
                <w:szCs w:val="16"/>
              </w:rPr>
              <w:br/>
              <w:t xml:space="preserve">Se firmó el 26 de Enero el acta de inicio del Contrato Interadministrativo  No. 1483 de diciembre de 2014, con la Empresa Inmobiliaria Cundinamarquesa cuyo objeto es la elaboración de avalúos comerciales corporativos para la compra de predios en áreas protegidas y/o de interés ambiental. En el marco de éste contrato se realizaron 19 avalúos, de la siguiente forma: </w:t>
            </w:r>
            <w:r w:rsidRPr="009278EC">
              <w:rPr>
                <w:rFonts w:ascii="Arial" w:hAnsi="Arial" w:cs="Arial"/>
                <w:sz w:val="16"/>
                <w:szCs w:val="16"/>
              </w:rPr>
              <w:br/>
              <w:t xml:space="preserve">Avalúos comerciales corporativos de nueve (9) predios ubicados en el PEDMEN Cerro de Juan Rey  identificados con los Registros topográficos 34, 39, 40, 41, 42, 46, 81, 122 178 con un área </w:t>
            </w:r>
            <w:r w:rsidRPr="009278EC">
              <w:rPr>
                <w:rFonts w:ascii="Arial" w:hAnsi="Arial" w:cs="Arial"/>
                <w:sz w:val="16"/>
                <w:szCs w:val="16"/>
              </w:rPr>
              <w:lastRenderedPageBreak/>
              <w:t xml:space="preserve">aproximada de  7 has 494,28 m2 (70494,28 m2) y para los cuales se realizó la respectiva revisión y aprobación. </w:t>
            </w:r>
            <w:r w:rsidRPr="009278EC">
              <w:rPr>
                <w:rFonts w:ascii="Arial" w:hAnsi="Arial" w:cs="Arial"/>
                <w:sz w:val="16"/>
                <w:szCs w:val="16"/>
              </w:rPr>
              <w:br/>
              <w:t>Igualmente se revisaron y aprobaron los avalúos de predios identificados con los  RT  29, 48, 79, 80, 82, 100, 105, 129, 137 y 177, con un área aproximada de 8 has 2087, 20 m2 (82.087,2 m2).</w:t>
            </w:r>
            <w:r w:rsidRPr="009278EC">
              <w:rPr>
                <w:rFonts w:ascii="Arial" w:hAnsi="Arial" w:cs="Arial"/>
                <w:sz w:val="16"/>
                <w:szCs w:val="16"/>
              </w:rPr>
              <w:br/>
              <w:t xml:space="preserve">* CONVENIO INTERADMINISTRATIVO 958 DE 2013 </w:t>
            </w:r>
            <w:r w:rsidRPr="009278EC">
              <w:rPr>
                <w:rFonts w:ascii="Arial" w:hAnsi="Arial" w:cs="Arial"/>
                <w:sz w:val="16"/>
                <w:szCs w:val="16"/>
              </w:rPr>
              <w:br/>
              <w:t xml:space="preserve">Se continuó con la gestión para la adquisición de cuarenta y cuatro (44) predios que suman un área de 46,61 hectáreas en el PEDMEN Cerro Juan Rey, a través  de Convenio Interadministrativo con el Instituto Distrital de Recreación y Deporte IDRD No. 0958 del 28 de junio del 2013, el cual se encuentra en ejecución, y tiene los siguientes avances: </w:t>
            </w:r>
            <w:r w:rsidRPr="009278EC">
              <w:rPr>
                <w:rFonts w:ascii="Arial" w:hAnsi="Arial" w:cs="Arial"/>
                <w:sz w:val="16"/>
                <w:szCs w:val="16"/>
              </w:rPr>
              <w:br/>
              <w:t>- 1er Trimestre: 19 predios terminados, 1 pendiente de escrituración y 2 en registro y pago del último contado, y 22 en saneamiento predial.</w:t>
            </w:r>
            <w:r w:rsidRPr="009278EC">
              <w:rPr>
                <w:rFonts w:ascii="Arial" w:hAnsi="Arial" w:cs="Arial"/>
                <w:sz w:val="16"/>
                <w:szCs w:val="16"/>
              </w:rPr>
              <w:br/>
              <w:t>- 2do Trimestre: Se realizó el segundo y/o último pago de cuatro (4) predios RT 91, RT 126, RT 148 y RT 150.</w:t>
            </w:r>
            <w:r w:rsidRPr="009278EC">
              <w:rPr>
                <w:rFonts w:ascii="Arial" w:hAnsi="Arial" w:cs="Arial"/>
                <w:sz w:val="16"/>
                <w:szCs w:val="16"/>
              </w:rPr>
              <w:br/>
              <w:t>- 3er Trimestre: Se realizó nuevamente reparto notarial del predio 148, y el requerimiento a Catastro Distrital respecto del Registro Topográfico 176, por el tema del avalúo catastral con el fin de tramitar la escrituración y pago del último contado. .</w:t>
            </w:r>
            <w:r w:rsidRPr="009278EC">
              <w:rPr>
                <w:rFonts w:ascii="Arial" w:hAnsi="Arial" w:cs="Arial"/>
                <w:sz w:val="16"/>
                <w:szCs w:val="16"/>
              </w:rPr>
              <w:br/>
              <w:t>- 4to Trimestre: Se realizó la suscripción de la promesa de compraventa y trámite de pasivos exigibles de pago del primer contando, el trámite de escrituración, registro, entrega y tramite de pasivos para pago de los predios identificados con los Registros Topográficos 42 y 39.</w:t>
            </w:r>
            <w:r w:rsidRPr="009278EC">
              <w:rPr>
                <w:rFonts w:ascii="Arial" w:hAnsi="Arial" w:cs="Arial"/>
                <w:sz w:val="16"/>
                <w:szCs w:val="16"/>
              </w:rPr>
              <w:br/>
              <w:t xml:space="preserve">Igualmente, se realizaron comités de seguimiento a éste durante todo el año: </w:t>
            </w:r>
            <w:r w:rsidRPr="009278EC">
              <w:rPr>
                <w:rFonts w:ascii="Arial" w:hAnsi="Arial" w:cs="Arial"/>
                <w:sz w:val="16"/>
                <w:szCs w:val="16"/>
              </w:rPr>
              <w:br/>
              <w:t>- 1er Trimestre: Se hizo el comité de seguimiento No. 08, el día 28 de Enero de 2015, y el No. 09 del 25 de marzo del 2015.</w:t>
            </w:r>
            <w:r w:rsidRPr="009278EC">
              <w:rPr>
                <w:rFonts w:ascii="Arial" w:hAnsi="Arial" w:cs="Arial"/>
                <w:sz w:val="16"/>
                <w:szCs w:val="16"/>
              </w:rPr>
              <w:br/>
            </w:r>
            <w:r w:rsidRPr="009278EC">
              <w:rPr>
                <w:rFonts w:ascii="Arial" w:hAnsi="Arial" w:cs="Arial"/>
                <w:sz w:val="16"/>
                <w:szCs w:val="16"/>
              </w:rPr>
              <w:lastRenderedPageBreak/>
              <w:t>- 2do Trimestre: Se realizaron los comités de seguimiento No. 09 del 8 de abril de 2015 y el No 10 del día 29 de mayo de 2015.</w:t>
            </w:r>
            <w:r w:rsidRPr="009278EC">
              <w:rPr>
                <w:rFonts w:ascii="Arial" w:hAnsi="Arial" w:cs="Arial"/>
                <w:sz w:val="16"/>
                <w:szCs w:val="16"/>
              </w:rPr>
              <w:br/>
              <w:t>- 3er Trimestre: Se realizaron los comités de seguimiento No. 11 del 24 de julio de 2015.</w:t>
            </w:r>
            <w:r w:rsidRPr="009278EC">
              <w:rPr>
                <w:rFonts w:ascii="Arial" w:hAnsi="Arial" w:cs="Arial"/>
                <w:sz w:val="16"/>
                <w:szCs w:val="16"/>
              </w:rPr>
              <w:br/>
              <w:t>- 4to Trimestre: Se realizaron dos (2) comités de seguimiento del Convenio.</w:t>
            </w:r>
            <w:r w:rsidRPr="009278EC">
              <w:rPr>
                <w:rFonts w:ascii="Arial" w:hAnsi="Arial" w:cs="Arial"/>
                <w:sz w:val="16"/>
                <w:szCs w:val="16"/>
              </w:rPr>
              <w:br/>
            </w:r>
            <w:r w:rsidRPr="009278EC">
              <w:rPr>
                <w:rFonts w:ascii="Arial" w:hAnsi="Arial" w:cs="Arial"/>
                <w:b/>
                <w:bCs/>
                <w:sz w:val="16"/>
                <w:szCs w:val="16"/>
              </w:rPr>
              <w:t>RESERVA REGIONAL FORESTAL PRODUCTORA DEL NORTE DE BOGOTÁ D. C. “THOMAS VAN DER HAMMEN”</w:t>
            </w:r>
            <w:r w:rsidRPr="009278EC">
              <w:rPr>
                <w:rFonts w:ascii="Arial" w:hAnsi="Arial" w:cs="Arial"/>
                <w:sz w:val="16"/>
                <w:szCs w:val="16"/>
              </w:rPr>
              <w:br/>
              <w:t>Iniciando el año se realizó el acompañamiento técnico y jurídico para la viabilización de adquisición de los predios ubicados tanto en el área forestal distrital "Sierras del Chico" como de la Reserva Regional Forestal Productora del Norte de Bogotá D. C. “Thomas Van Der Hammen” (RFPTVDH).</w:t>
            </w:r>
            <w:r w:rsidRPr="009278EC">
              <w:rPr>
                <w:rFonts w:ascii="Arial" w:hAnsi="Arial" w:cs="Arial"/>
                <w:sz w:val="16"/>
                <w:szCs w:val="16"/>
              </w:rPr>
              <w:br/>
              <w:t>En el segundo trimestre de 2015 se inició la gestión para el acompañamiento técnico, jurídico, social y logístico para el proceso de adquisición de los predios ubicados en la Reserva Regional Forestal Productora del Norte de Bogotá D. C. “Thomas van Der Hammen”. De la misma manera se realizaron los estudios previos para realizar el contrato interadministrativo con la Unidad Administrativa Especial de Catastro Distrital para la ejecución de los avalúos comerciales, así como para la elaboración de los estudios topográficos, estudios de títulos y la gestión social en la mencionada reserva.</w:t>
            </w:r>
            <w:r w:rsidRPr="009278EC">
              <w:rPr>
                <w:rFonts w:ascii="Arial" w:hAnsi="Arial" w:cs="Arial"/>
                <w:sz w:val="16"/>
                <w:szCs w:val="16"/>
              </w:rPr>
              <w:br/>
              <w:t xml:space="preserve">En el marco del proceso de adquisición de los predios requeridos para la para consolidar la conectividad ecológica, protección y restauración ambiental entre los cerros orientales, el área de reserva forestal regional productora del norte de Bogotá D.C. “Thomas van der Hammen” y el río Bogotá, en el tercer trimestre se adelantó la revisión de 345 folios de matrícula inmobiliaria y de boletines catastrales de predios de la RFTVDH y en el cuarto </w:t>
            </w:r>
            <w:r w:rsidRPr="009278EC">
              <w:rPr>
                <w:rFonts w:ascii="Arial" w:hAnsi="Arial" w:cs="Arial"/>
                <w:sz w:val="16"/>
                <w:szCs w:val="16"/>
              </w:rPr>
              <w:lastRenderedPageBreak/>
              <w:t>trimestre se solicitaron, a la Unidad Administrativa de Catastro Distrital, 17 avalúos correspondiente a un área de 149,29 hectáreas.</w:t>
            </w:r>
            <w:r w:rsidRPr="009278EC">
              <w:rPr>
                <w:rFonts w:ascii="Arial" w:hAnsi="Arial" w:cs="Arial"/>
                <w:sz w:val="16"/>
                <w:szCs w:val="16"/>
              </w:rPr>
              <w:br/>
            </w:r>
            <w:r w:rsidRPr="009278EC">
              <w:rPr>
                <w:rFonts w:ascii="Arial" w:hAnsi="Arial" w:cs="Arial"/>
                <w:b/>
                <w:bCs/>
                <w:sz w:val="16"/>
                <w:szCs w:val="16"/>
              </w:rPr>
              <w:t>IDENTIFICACIÓN PREDIAL</w:t>
            </w:r>
            <w:r w:rsidRPr="009278EC">
              <w:rPr>
                <w:rFonts w:ascii="Arial" w:hAnsi="Arial" w:cs="Arial"/>
                <w:sz w:val="16"/>
                <w:szCs w:val="16"/>
              </w:rPr>
              <w:br/>
              <w:t>Con base en la base catastral se realizó la Identificación predial de la conformación del Área Forestal Distrital (47 entre los cuales se encuentran Altos, Área de restauración, Bajos, cerros, Corredor de restauración, Encaníllales, Paramos, Quebradas, Sierras y Subparamos), recopiladas en una matriz con información Catastral y Jurídica.</w:t>
            </w:r>
            <w:r w:rsidRPr="009278EC">
              <w:rPr>
                <w:rFonts w:ascii="Arial" w:hAnsi="Arial" w:cs="Arial"/>
                <w:sz w:val="16"/>
                <w:szCs w:val="16"/>
              </w:rPr>
              <w:br/>
              <w:t>• Predios: 1.484</w:t>
            </w:r>
            <w:r w:rsidRPr="009278EC">
              <w:rPr>
                <w:rFonts w:ascii="Arial" w:hAnsi="Arial" w:cs="Arial"/>
                <w:sz w:val="16"/>
                <w:szCs w:val="16"/>
              </w:rPr>
              <w:br/>
              <w:t>• Predios de tipo oficial (Distrito - Nacional): 63</w:t>
            </w:r>
            <w:r w:rsidRPr="009278EC">
              <w:rPr>
                <w:rFonts w:ascii="Arial" w:hAnsi="Arial" w:cs="Arial"/>
                <w:sz w:val="16"/>
                <w:szCs w:val="16"/>
              </w:rPr>
              <w:br/>
              <w:t>• Predios de tipo particular: 1.421</w:t>
            </w:r>
            <w:r w:rsidRPr="009278EC">
              <w:rPr>
                <w:rFonts w:ascii="Arial" w:hAnsi="Arial" w:cs="Arial"/>
                <w:sz w:val="16"/>
                <w:szCs w:val="16"/>
              </w:rPr>
              <w:br/>
              <w:t xml:space="preserve">Identificación predial de la conformación de los Parques Ecológicos Distritales de Montaña (7 entre los cuales se encuentran el Cerro de La Conejera, Cerro de Torca, Entrenubes Cerro de Juan Rey, Entrenubes Cuchilla de Guacamayas, Entrenubes Cuchilla del Gavilán, La Regadera y Peña Blanca) recopilados en una matriz con información Catastral y Jurídica. </w:t>
            </w:r>
            <w:r w:rsidRPr="009278EC">
              <w:rPr>
                <w:rFonts w:ascii="Arial" w:hAnsi="Arial" w:cs="Arial"/>
                <w:sz w:val="16"/>
                <w:szCs w:val="16"/>
              </w:rPr>
              <w:br/>
              <w:t xml:space="preserve">• Predios: 322 </w:t>
            </w:r>
            <w:r w:rsidRPr="009278EC">
              <w:rPr>
                <w:rFonts w:ascii="Arial" w:hAnsi="Arial" w:cs="Arial"/>
                <w:sz w:val="16"/>
                <w:szCs w:val="16"/>
              </w:rPr>
              <w:br/>
              <w:t>• Predios de tipo oficial (Distrito): 52</w:t>
            </w:r>
            <w:r w:rsidRPr="009278EC">
              <w:rPr>
                <w:rFonts w:ascii="Arial" w:hAnsi="Arial" w:cs="Arial"/>
                <w:sz w:val="16"/>
                <w:szCs w:val="16"/>
              </w:rPr>
              <w:br/>
              <w:t>• Predios de tipo particular: 270</w:t>
            </w:r>
            <w:r w:rsidRPr="009278EC">
              <w:rPr>
                <w:rFonts w:ascii="Arial" w:hAnsi="Arial" w:cs="Arial"/>
                <w:sz w:val="16"/>
                <w:szCs w:val="16"/>
              </w:rPr>
              <w:br/>
              <w:t>Identificación predial de los lotes que conforman los Santuario Distrital de Fauna y Flora (3 entre los cuales se encuentran en El bosque de las Mercedes en Suba, Lagunas de Bocagrande y Pantanos Colgantes) recopilados en una matriz con información Catastral y Jurídica.</w:t>
            </w:r>
            <w:r w:rsidRPr="009278EC">
              <w:rPr>
                <w:rFonts w:ascii="Arial" w:hAnsi="Arial" w:cs="Arial"/>
                <w:sz w:val="16"/>
                <w:szCs w:val="16"/>
              </w:rPr>
              <w:br/>
              <w:t>• Predios: 30</w:t>
            </w:r>
            <w:r w:rsidRPr="009278EC">
              <w:rPr>
                <w:rFonts w:ascii="Arial" w:hAnsi="Arial" w:cs="Arial"/>
                <w:sz w:val="16"/>
                <w:szCs w:val="16"/>
              </w:rPr>
              <w:br/>
              <w:t>• Predios de tipo oficial (Distrito): 3</w:t>
            </w:r>
            <w:r w:rsidRPr="009278EC">
              <w:rPr>
                <w:rFonts w:ascii="Arial" w:hAnsi="Arial" w:cs="Arial"/>
                <w:sz w:val="16"/>
                <w:szCs w:val="16"/>
              </w:rPr>
              <w:br/>
              <w:t>• Predios de tipo particular: 27</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PEDMEN: </w:t>
            </w:r>
            <w:r w:rsidRPr="009278EC">
              <w:rPr>
                <w:rFonts w:ascii="Arial" w:hAnsi="Arial" w:cs="Arial"/>
                <w:sz w:val="16"/>
                <w:szCs w:val="16"/>
              </w:rPr>
              <w:br/>
              <w:t>1. 815/2015</w:t>
            </w:r>
            <w:r w:rsidRPr="009278EC">
              <w:rPr>
                <w:rFonts w:ascii="Arial" w:hAnsi="Arial" w:cs="Arial"/>
                <w:sz w:val="16"/>
                <w:szCs w:val="16"/>
              </w:rPr>
              <w:br/>
              <w:t>2. 849/2015</w:t>
            </w:r>
            <w:r w:rsidRPr="009278EC">
              <w:rPr>
                <w:rFonts w:ascii="Arial" w:hAnsi="Arial" w:cs="Arial"/>
                <w:sz w:val="16"/>
                <w:szCs w:val="16"/>
              </w:rPr>
              <w:br/>
              <w:t>3. 719/2015</w:t>
            </w:r>
            <w:r w:rsidRPr="009278EC">
              <w:rPr>
                <w:rFonts w:ascii="Arial" w:hAnsi="Arial" w:cs="Arial"/>
                <w:sz w:val="16"/>
                <w:szCs w:val="16"/>
              </w:rPr>
              <w:br/>
              <w:t>4. 958/2013</w:t>
            </w:r>
            <w:r w:rsidRPr="009278EC">
              <w:rPr>
                <w:rFonts w:ascii="Arial" w:hAnsi="Arial" w:cs="Arial"/>
                <w:sz w:val="16"/>
                <w:szCs w:val="16"/>
              </w:rPr>
              <w:br/>
              <w:t>5. 1483/2014</w:t>
            </w:r>
            <w:r w:rsidRPr="009278EC">
              <w:rPr>
                <w:rFonts w:ascii="Arial" w:hAnsi="Arial" w:cs="Arial"/>
                <w:sz w:val="16"/>
                <w:szCs w:val="16"/>
              </w:rPr>
              <w:br/>
              <w:t>6. 1425/2015</w:t>
            </w:r>
            <w:r w:rsidRPr="009278EC">
              <w:rPr>
                <w:rFonts w:ascii="Arial" w:hAnsi="Arial" w:cs="Arial"/>
                <w:sz w:val="16"/>
                <w:szCs w:val="16"/>
              </w:rPr>
              <w:br/>
              <w:t xml:space="preserve">Reserva TvdH: </w:t>
            </w:r>
            <w:r w:rsidRPr="009278EC">
              <w:rPr>
                <w:rFonts w:ascii="Arial" w:hAnsi="Arial" w:cs="Arial"/>
                <w:sz w:val="16"/>
                <w:szCs w:val="16"/>
              </w:rPr>
              <w:br/>
              <w:t>7. 1351/2015</w:t>
            </w:r>
            <w:r w:rsidRPr="009278EC">
              <w:rPr>
                <w:rFonts w:ascii="Arial" w:hAnsi="Arial" w:cs="Arial"/>
                <w:sz w:val="16"/>
                <w:szCs w:val="16"/>
              </w:rPr>
              <w:br/>
              <w:t>8. 1366/2015</w:t>
            </w:r>
            <w:r w:rsidRPr="009278EC">
              <w:rPr>
                <w:rFonts w:ascii="Arial" w:hAnsi="Arial" w:cs="Arial"/>
                <w:sz w:val="16"/>
                <w:szCs w:val="16"/>
              </w:rPr>
              <w:br/>
              <w:t>9. 1367/2015</w:t>
            </w:r>
            <w:r w:rsidRPr="009278EC">
              <w:rPr>
                <w:rFonts w:ascii="Arial" w:hAnsi="Arial" w:cs="Arial"/>
                <w:sz w:val="16"/>
                <w:szCs w:val="16"/>
              </w:rPr>
              <w:br/>
              <w:t>10. 1368/2015</w:t>
            </w:r>
            <w:r w:rsidRPr="009278EC">
              <w:rPr>
                <w:rFonts w:ascii="Arial" w:hAnsi="Arial" w:cs="Arial"/>
                <w:sz w:val="16"/>
                <w:szCs w:val="16"/>
              </w:rPr>
              <w:br/>
              <w:t>11. 1369/2015</w:t>
            </w:r>
            <w:r w:rsidRPr="009278EC">
              <w:rPr>
                <w:rFonts w:ascii="Arial" w:hAnsi="Arial" w:cs="Arial"/>
                <w:sz w:val="16"/>
                <w:szCs w:val="16"/>
              </w:rPr>
              <w:br/>
              <w:t>12. 1370/2015</w:t>
            </w:r>
            <w:r w:rsidRPr="009278EC">
              <w:rPr>
                <w:rFonts w:ascii="Arial" w:hAnsi="Arial" w:cs="Arial"/>
                <w:sz w:val="16"/>
                <w:szCs w:val="16"/>
              </w:rPr>
              <w:br/>
              <w:t>13. 1371/2015</w:t>
            </w:r>
            <w:r w:rsidRPr="009278EC">
              <w:rPr>
                <w:rFonts w:ascii="Arial" w:hAnsi="Arial" w:cs="Arial"/>
                <w:sz w:val="16"/>
                <w:szCs w:val="16"/>
              </w:rPr>
              <w:br/>
              <w:t>14. 1372/2015</w:t>
            </w:r>
            <w:r w:rsidRPr="009278EC">
              <w:rPr>
                <w:rFonts w:ascii="Arial" w:hAnsi="Arial" w:cs="Arial"/>
                <w:sz w:val="16"/>
                <w:szCs w:val="16"/>
              </w:rPr>
              <w:br/>
              <w:t>15. 1373/2015</w:t>
            </w:r>
            <w:r w:rsidRPr="009278EC">
              <w:rPr>
                <w:rFonts w:ascii="Arial" w:hAnsi="Arial" w:cs="Arial"/>
                <w:sz w:val="16"/>
                <w:szCs w:val="16"/>
              </w:rPr>
              <w:br/>
              <w:t>16. 1374/2015</w:t>
            </w:r>
            <w:r w:rsidRPr="009278EC">
              <w:rPr>
                <w:rFonts w:ascii="Arial" w:hAnsi="Arial" w:cs="Arial"/>
                <w:sz w:val="16"/>
                <w:szCs w:val="16"/>
              </w:rPr>
              <w:br/>
              <w:t>17. 1377/2015</w:t>
            </w:r>
            <w:r w:rsidRPr="009278EC">
              <w:rPr>
                <w:rFonts w:ascii="Arial" w:hAnsi="Arial" w:cs="Arial"/>
                <w:sz w:val="16"/>
                <w:szCs w:val="16"/>
              </w:rPr>
              <w:br/>
              <w:t>18. 1376/2015</w:t>
            </w:r>
            <w:r w:rsidRPr="009278EC">
              <w:rPr>
                <w:rFonts w:ascii="Arial" w:hAnsi="Arial" w:cs="Arial"/>
                <w:sz w:val="16"/>
                <w:szCs w:val="16"/>
              </w:rPr>
              <w:br/>
              <w:t>19. 1382/2015</w:t>
            </w:r>
            <w:r w:rsidRPr="009278EC">
              <w:rPr>
                <w:rFonts w:ascii="Arial" w:hAnsi="Arial" w:cs="Arial"/>
                <w:sz w:val="16"/>
                <w:szCs w:val="16"/>
              </w:rPr>
              <w:br/>
              <w:t>20. 620/2015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Las actividades ejecutadas son coherentes con el objetivo "Conservación y Adecuado Manejo de la Fauna y la Flora"  en la medida que la adquisición predial de áreas protegidas del D.C.  </w:t>
            </w:r>
            <w:proofErr w:type="gramStart"/>
            <w:r w:rsidRPr="009278EC">
              <w:rPr>
                <w:rFonts w:ascii="Arial" w:hAnsi="Arial" w:cs="Arial"/>
                <w:sz w:val="16"/>
                <w:szCs w:val="16"/>
              </w:rPr>
              <w:t>es</w:t>
            </w:r>
            <w:proofErr w:type="gramEnd"/>
            <w:r w:rsidRPr="009278EC">
              <w:rPr>
                <w:rFonts w:ascii="Arial" w:hAnsi="Arial" w:cs="Arial"/>
                <w:sz w:val="16"/>
                <w:szCs w:val="16"/>
              </w:rPr>
              <w:t xml:space="preserve"> una estrategia que otorga mayor control territorial y resuelve el dominio público efectivo sobre áreas de interés público,  amplía la oferta ambiental de la ciudad y permite a la Secretaria Distrital de Ambiente ejecutar acciones de  recuperación, restauración y conservación ambiental  y en especial cuando se trata de valores de gran significación como es caso de Parque Ecológico Distrital de Montaña Entrenubes. </w:t>
            </w:r>
            <w:r w:rsidRPr="009278EC">
              <w:rPr>
                <w:rFonts w:ascii="Arial" w:hAnsi="Arial" w:cs="Arial"/>
                <w:sz w:val="16"/>
                <w:szCs w:val="16"/>
              </w:rPr>
              <w:br/>
              <w:t xml:space="preserve">Igualmente guarda concordancia con dicho objetivo debido a que la materialización de las decisiones adoptadas por el Ministerio del Medio Ambiente mediante las Resoluciones 475 y 621 de 2000 y la Corporación Autónoma Regional de Cundinamarca mediante los Acuerdos 011 de 2011 y 021 de 2014, relacionadas con definir e implementar medidas de manejo para la Reserva Forestal Regional Productora del Norte de Bogotá D.C. “Thomas Van Der Hammen”, conllevan a fortalecer su carácter y función ecológica y ambiental, local y regional, teniendo en cuenta sus potencialidades, los usos actuales, alteraciones, degradaciones y presiones de ocupación, en procura de la sostenibilidad del </w:t>
            </w:r>
            <w:r w:rsidRPr="009278EC">
              <w:rPr>
                <w:rFonts w:ascii="Arial" w:hAnsi="Arial" w:cs="Arial"/>
                <w:sz w:val="16"/>
                <w:szCs w:val="16"/>
              </w:rPr>
              <w:lastRenderedPageBreak/>
              <w:t xml:space="preserve">territorio y el mejoramiento de la calidad de vida de los habitantes del Distrito Capital y de la región, dependiendo en gran medida de que el Distrito Capital y otras entidades del Estado, cuenten con las herramientas y mecanismos que le permitan adquirir los predios existentes en el Área de Reserva Forestal y le den los usos que legalmente se prevén para este tipo de categorías de conservación ambiental y esto solo se logra con la implementación de la estrategia correspondiente al "Manejo Físico y Ecourbanismo", ya que desde la visión prospectiva el PMA señala: “Consolidar la reserva es pensar en futuro; futuro visto desde los nuevos escenarios de cambio climático global, a los cuales el País, la Sabana y el Distrito Capital deben responder con medidas contundentes que favorezcan su mitigación o adaptación” y el Área de Reserva Forestal es un área que por sus condiciones biofísicas cumple un importante papel como generadora de servicios ecosistémicos fundamentales para la vida de los pobladores de la región y todos los habitantes del Distrito Capital. Los siguientes contratos no corresponden a una actividad específica, sin embargo aportan al cumplimiento de la meta: Recuperación ecológica participativa de 520 hectáreas en suelo de protección </w:t>
            </w:r>
            <w:r w:rsidRPr="009278EC">
              <w:rPr>
                <w:rFonts w:ascii="Arial" w:hAnsi="Arial" w:cs="Arial"/>
                <w:sz w:val="16"/>
                <w:szCs w:val="16"/>
              </w:rPr>
              <w:br/>
              <w:t>1. 174/2015</w:t>
            </w:r>
            <w:r w:rsidRPr="009278EC">
              <w:rPr>
                <w:rFonts w:ascii="Arial" w:hAnsi="Arial" w:cs="Arial"/>
                <w:sz w:val="16"/>
                <w:szCs w:val="16"/>
              </w:rPr>
              <w:br/>
            </w:r>
            <w:r w:rsidRPr="009278EC">
              <w:rPr>
                <w:rFonts w:ascii="Arial" w:hAnsi="Arial" w:cs="Arial"/>
                <w:sz w:val="16"/>
                <w:szCs w:val="16"/>
              </w:rPr>
              <w:lastRenderedPageBreak/>
              <w:t>2. 187/2015</w:t>
            </w:r>
            <w:r w:rsidRPr="009278EC">
              <w:rPr>
                <w:rFonts w:ascii="Arial" w:hAnsi="Arial" w:cs="Arial"/>
                <w:sz w:val="16"/>
                <w:szCs w:val="16"/>
              </w:rPr>
              <w:br/>
              <w:t>3. 1033/2015</w:t>
            </w:r>
            <w:r w:rsidRPr="009278EC">
              <w:rPr>
                <w:rFonts w:ascii="Arial" w:hAnsi="Arial" w:cs="Arial"/>
                <w:sz w:val="16"/>
                <w:szCs w:val="16"/>
              </w:rPr>
              <w:br/>
              <w:t>4.1028 /2015</w:t>
            </w:r>
            <w:r w:rsidRPr="009278EC">
              <w:rPr>
                <w:rFonts w:ascii="Arial" w:hAnsi="Arial" w:cs="Arial"/>
                <w:sz w:val="16"/>
                <w:szCs w:val="16"/>
              </w:rPr>
              <w:br/>
              <w:t>5. 1217/2015</w:t>
            </w:r>
            <w:r w:rsidRPr="009278EC">
              <w:rPr>
                <w:rFonts w:ascii="Arial" w:hAnsi="Arial" w:cs="Arial"/>
                <w:sz w:val="16"/>
                <w:szCs w:val="16"/>
              </w:rPr>
              <w:br/>
              <w:t>6. 1336/2015</w:t>
            </w:r>
            <w:r w:rsidRPr="009278EC">
              <w:rPr>
                <w:rFonts w:ascii="Arial" w:hAnsi="Arial" w:cs="Arial"/>
                <w:sz w:val="16"/>
                <w:szCs w:val="16"/>
              </w:rPr>
              <w:br/>
              <w:t>7. 182/2015</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15. Realizar el mantenimiento, implementación y monitoreo de acciones para </w:t>
            </w:r>
            <w:proofErr w:type="gramStart"/>
            <w:r w:rsidRPr="009278EC">
              <w:rPr>
                <w:rFonts w:ascii="Arial" w:hAnsi="Arial" w:cs="Arial"/>
                <w:sz w:val="16"/>
                <w:szCs w:val="16"/>
              </w:rPr>
              <w:t>conservación ,</w:t>
            </w:r>
            <w:proofErr w:type="gramEnd"/>
            <w:r w:rsidRPr="009278EC">
              <w:rPr>
                <w:rFonts w:ascii="Arial" w:hAnsi="Arial" w:cs="Arial"/>
                <w:sz w:val="16"/>
                <w:szCs w:val="16"/>
              </w:rPr>
              <w:t xml:space="preserve"> restauración, rehabilitación y/o recuperación en suelo de protección del Distrito Capital.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En el suelo de protección se adelantó la gestión con la intervención  en los siguientes sectores nuevos:</w:t>
            </w:r>
            <w:r w:rsidRPr="009278EC">
              <w:rPr>
                <w:rFonts w:ascii="Arial" w:hAnsi="Arial" w:cs="Arial"/>
                <w:sz w:val="16"/>
                <w:szCs w:val="16"/>
              </w:rPr>
              <w:br/>
              <w:t>• Recuperación Ecológica en parques de Montaña y otras áreas de interés ambiental</w:t>
            </w:r>
            <w:r w:rsidRPr="009278EC">
              <w:rPr>
                <w:rFonts w:ascii="Arial" w:hAnsi="Arial" w:cs="Arial"/>
                <w:sz w:val="16"/>
                <w:szCs w:val="16"/>
              </w:rPr>
              <w:br/>
              <w:t>En el Parque Ecológico Distrital de Montaña Entrenubes - PEDMEN se hizo la plantación de 9.250 individuos  en 28.19 ha ubicados en los predios 67, 35-36, 51-53, 54-55, 84 y 177. Adicionalmente, se han realizado tres ciclos de mantenimiento a los procesos de restauración ecológica de 35 ha realizados en los periodos 2008-2012. En el 2015 se realizó el cuarto ciclo de mantenimiento en 9 ha en los predios 6, 13, 14, 16, 21, 23, 24, 98,194 con acciones como control de rebrotes y replante.</w:t>
            </w:r>
            <w:r w:rsidRPr="009278EC">
              <w:rPr>
                <w:rFonts w:ascii="Arial" w:hAnsi="Arial" w:cs="Arial"/>
                <w:sz w:val="16"/>
                <w:szCs w:val="16"/>
              </w:rPr>
              <w:br/>
              <w:t>De igual manera,  en los predios nuevos adquiridos desde 2012 (35.45 ha) ubicados en el Cerro Juan Rey en  los predios No. 38, 45, 51, 53,54.55, 56, 64, 90, 106, 118, 127, 144., 7, 52, 72, 84, 110, 126, 128, 140, 148., 150,  176, 39, 42.81 y 178 ubicados en el cerro de Juan Rey, PEDMEN. En estos predios se inician labores de restauración como cerramiento, colocación de biomantos y en algunos casos plantación.</w:t>
            </w:r>
            <w:r w:rsidRPr="009278EC">
              <w:rPr>
                <w:rFonts w:ascii="Arial" w:hAnsi="Arial" w:cs="Arial"/>
                <w:sz w:val="16"/>
                <w:szCs w:val="16"/>
              </w:rPr>
              <w:br/>
              <w:t xml:space="preserve">En el sector de Arborizadora Alta, predio del Distrito de importancia ecológica por considerarse un relicto  del bosque seco (enclave subxerofítico), se adelantó la plantación en 20,28 ha en los claros aledaños a la plantación de acacias realizado por la SDA ampliado las intervenciones con la siembra de 2.107 árboles. Asimismo, se realizó el primer ciclo de mantenimiento. Para la plantación en nuevas hectáreas la SDA inicio el trámite para la declaración como área protegida expidiendo la medida cautelar para 148 ha,  en la zona de Arborizadora Alta mediante Resolución 1197 de 2013, con la cual se garantiza la protección del ecosistema bosque seco.  Pese a estos esfuerzos no se logró </w:t>
            </w:r>
            <w:r w:rsidRPr="009278EC">
              <w:rPr>
                <w:rFonts w:ascii="Arial" w:hAnsi="Arial" w:cs="Arial"/>
                <w:sz w:val="16"/>
                <w:szCs w:val="16"/>
              </w:rPr>
              <w:lastRenderedPageBreak/>
              <w:t>durante las vigencias 2014 y 2015 la declaración del área para iniciar el proceso de adquisión predial y continuar ampliando el proceso de restauración ecológica.</w:t>
            </w:r>
            <w:r w:rsidRPr="009278EC">
              <w:rPr>
                <w:rFonts w:ascii="Arial" w:hAnsi="Arial" w:cs="Arial"/>
                <w:sz w:val="16"/>
                <w:szCs w:val="16"/>
              </w:rPr>
              <w:br/>
              <w:t>En la Serranía del Zuque se realizaron dos ciclos de mantenimiento en 12 ha intervenidas previamente por la SDA. En esta zona se tuvo la dificultad de acceso  a la zona en el 2013 para la intervención de nuevas áreas, debido al evento de remoción en masa que afecto la vía impidiendo continuar con los procesos de recuperación ecológica en el ecosistema bosque altoandino y Subpáramo. A la fecha persiste el daño afectando el cumplimiento de la meta inicialmente planteada.</w:t>
            </w:r>
            <w:r w:rsidRPr="009278EC">
              <w:rPr>
                <w:rFonts w:ascii="Arial" w:hAnsi="Arial" w:cs="Arial"/>
                <w:sz w:val="16"/>
                <w:szCs w:val="16"/>
              </w:rPr>
              <w:br/>
              <w:t>En el predio del Biter 13 La Australia, la SDA y FFMM hicieron el aislamiento de un relicto de bosque y subpáramo en 25 ha y  la eliminación de retamo espinoso 4,3 ha.  En las vigencias 2013 y 2014 se realizaron dos ciclos de  mantenimiento en 72.30 ha (43 ha intervenidas previamente). Y en 2015 se realizó el tercer ciclo en 32 ha (25 ha mantenimiento de la cerca, 5 ha en control de retamo y 2 ha de replante)</w:t>
            </w:r>
            <w:r w:rsidRPr="009278EC">
              <w:rPr>
                <w:rFonts w:ascii="Arial" w:hAnsi="Arial" w:cs="Arial"/>
                <w:sz w:val="16"/>
                <w:szCs w:val="16"/>
              </w:rPr>
              <w:br/>
              <w:t xml:space="preserve">En los Cerros orientales, se realizó la intervención en 21,39 hectáreas invadidas de retamo, ubicadas en los predios de los Padres Píos y Mindefensa (Localidad de Chapinero) y en los predios Los Alpes, Parque Arboleda y El Virrey Solis (Localidad de San Cristóbal). </w:t>
            </w:r>
            <w:r w:rsidRPr="009278EC">
              <w:rPr>
                <w:rFonts w:ascii="Arial" w:hAnsi="Arial" w:cs="Arial"/>
                <w:sz w:val="16"/>
                <w:szCs w:val="16"/>
              </w:rPr>
              <w:br/>
              <w:t xml:space="preserve">Es decir, se inició procesos de recuperación ecológica en 134.61 hectáreas nuevas, se continuó el proceso con acciones de mantenimiento de 122.50 hectáreas intervenidas en Bogotá Positiva más la gestión adicional en Arbolizadora Alta de 9.72 hectáreas. Para un acumulado de 266.83 hectáreas gestionadas.        </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1119/2015</w:t>
            </w:r>
            <w:r w:rsidRPr="009278EC">
              <w:rPr>
                <w:rFonts w:ascii="Arial" w:hAnsi="Arial" w:cs="Arial"/>
                <w:sz w:val="16"/>
                <w:szCs w:val="16"/>
              </w:rPr>
              <w:br/>
              <w:t>2. 1677/2015</w:t>
            </w:r>
            <w:r w:rsidRPr="009278EC">
              <w:rPr>
                <w:rFonts w:ascii="Arial" w:hAnsi="Arial" w:cs="Arial"/>
                <w:sz w:val="16"/>
                <w:szCs w:val="16"/>
              </w:rPr>
              <w:br/>
              <w:t>3. 1478/2014</w:t>
            </w:r>
            <w:r w:rsidRPr="009278EC">
              <w:rPr>
                <w:rFonts w:ascii="Arial" w:hAnsi="Arial" w:cs="Arial"/>
                <w:sz w:val="16"/>
                <w:szCs w:val="16"/>
              </w:rPr>
              <w:br/>
              <w:t>4. 695/2015</w:t>
            </w:r>
            <w:r w:rsidRPr="009278EC">
              <w:rPr>
                <w:rFonts w:ascii="Arial" w:hAnsi="Arial" w:cs="Arial"/>
                <w:sz w:val="16"/>
                <w:szCs w:val="16"/>
              </w:rPr>
              <w:br/>
              <w:t>5. 647/2015</w:t>
            </w:r>
            <w:r w:rsidRPr="009278EC">
              <w:rPr>
                <w:rFonts w:ascii="Arial" w:hAnsi="Arial" w:cs="Arial"/>
                <w:sz w:val="16"/>
                <w:szCs w:val="16"/>
              </w:rPr>
              <w:br/>
              <w:t>6. 725/2015</w:t>
            </w:r>
            <w:r w:rsidRPr="009278EC">
              <w:rPr>
                <w:rFonts w:ascii="Arial" w:hAnsi="Arial" w:cs="Arial"/>
                <w:sz w:val="16"/>
                <w:szCs w:val="16"/>
              </w:rPr>
              <w:br/>
              <w:t>7. 964/2015</w:t>
            </w:r>
            <w:r w:rsidRPr="009278EC">
              <w:rPr>
                <w:rFonts w:ascii="Arial" w:hAnsi="Arial" w:cs="Arial"/>
                <w:sz w:val="16"/>
                <w:szCs w:val="16"/>
              </w:rPr>
              <w:br/>
              <w:t>8. 916/2015</w:t>
            </w:r>
            <w:r w:rsidRPr="009278EC">
              <w:rPr>
                <w:rFonts w:ascii="Arial" w:hAnsi="Arial" w:cs="Arial"/>
                <w:sz w:val="16"/>
                <w:szCs w:val="16"/>
              </w:rPr>
              <w:br/>
              <w:t>9. 1001/2015</w:t>
            </w:r>
            <w:r w:rsidRPr="009278EC">
              <w:rPr>
                <w:rFonts w:ascii="Arial" w:hAnsi="Arial" w:cs="Arial"/>
                <w:sz w:val="16"/>
                <w:szCs w:val="16"/>
              </w:rPr>
              <w:br/>
              <w:t>10. 1140/2015</w:t>
            </w:r>
            <w:r w:rsidRPr="009278EC">
              <w:rPr>
                <w:rFonts w:ascii="Arial" w:hAnsi="Arial" w:cs="Arial"/>
                <w:sz w:val="16"/>
                <w:szCs w:val="16"/>
              </w:rPr>
              <w:br/>
              <w:t>11. 471/2015</w:t>
            </w:r>
            <w:r w:rsidRPr="009278EC">
              <w:rPr>
                <w:rFonts w:ascii="Arial" w:hAnsi="Arial" w:cs="Arial"/>
                <w:sz w:val="16"/>
                <w:szCs w:val="16"/>
              </w:rPr>
              <w:br/>
              <w:t>12. 1526/14</w:t>
            </w:r>
            <w:r w:rsidRPr="009278EC">
              <w:rPr>
                <w:rFonts w:ascii="Arial" w:hAnsi="Arial" w:cs="Arial"/>
                <w:sz w:val="16"/>
                <w:szCs w:val="16"/>
              </w:rPr>
              <w:br/>
              <w:t>13. 999/2013</w:t>
            </w:r>
            <w:r w:rsidRPr="009278EC">
              <w:rPr>
                <w:rFonts w:ascii="Arial" w:hAnsi="Arial" w:cs="Arial"/>
                <w:sz w:val="16"/>
                <w:szCs w:val="16"/>
              </w:rPr>
              <w:br/>
              <w:t>14. 1525/2015</w:t>
            </w:r>
            <w:r w:rsidRPr="009278EC">
              <w:rPr>
                <w:rFonts w:ascii="Arial" w:hAnsi="Arial" w:cs="Arial"/>
                <w:sz w:val="16"/>
                <w:szCs w:val="16"/>
              </w:rPr>
              <w:br/>
              <w:t>15. 1311/2015</w:t>
            </w:r>
            <w:r w:rsidRPr="009278EC">
              <w:rPr>
                <w:rFonts w:ascii="Arial" w:hAnsi="Arial" w:cs="Arial"/>
                <w:sz w:val="16"/>
                <w:szCs w:val="16"/>
              </w:rPr>
              <w:br/>
              <w:t>16. 970/2015</w:t>
            </w:r>
            <w:r w:rsidRPr="009278EC">
              <w:rPr>
                <w:rFonts w:ascii="Arial" w:hAnsi="Arial" w:cs="Arial"/>
                <w:sz w:val="16"/>
                <w:szCs w:val="16"/>
              </w:rPr>
              <w:br/>
              <w:t>17. 907/2015</w:t>
            </w:r>
            <w:r w:rsidRPr="009278EC">
              <w:rPr>
                <w:rFonts w:ascii="Arial" w:hAnsi="Arial" w:cs="Arial"/>
                <w:sz w:val="16"/>
                <w:szCs w:val="16"/>
              </w:rPr>
              <w:br/>
              <w:t>18. 805/2015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Ésta actividad guarda coherencia con el objetivo "Conservación y Adecuado Manejo de la Fauna y la Flora" y con la estrategia " Manejo Físico y Ecourbanismo" teniendo en cuenta que busca garantizar que los procesos de conservación, restauración, rehabilitación y/o recuperación permitan la conectividad estructural y la recuperación de la funcionalidad de los ecosistemas de la Estructura Ecológica Principal.</w:t>
            </w:r>
            <w:r w:rsidRPr="009278EC">
              <w:rPr>
                <w:rFonts w:ascii="Arial" w:hAnsi="Arial" w:cs="Arial"/>
                <w:sz w:val="16"/>
                <w:szCs w:val="16"/>
              </w:rPr>
              <w:br/>
            </w:r>
            <w:r w:rsidRPr="009278EC">
              <w:rPr>
                <w:rFonts w:ascii="Arial" w:hAnsi="Arial" w:cs="Arial"/>
                <w:sz w:val="16"/>
                <w:szCs w:val="16"/>
              </w:rPr>
              <w:br/>
              <w:t xml:space="preserve">Asimismo, las acciones de restauración ecológica luego de realizado el control de retamo, como medida de miitgación de incendios forestales, guarda relación con los objetivos del PGA "Gestión ambiental de riesgos y desastres" y "Conservación y Adecuado Manejo de la Fauna y la Flora", ya que con la actividad se busca contribuir a la ejecución de las acciones destinadas a la prevención de desastres y emergencias distritales y aportar a la restauración y preservación de los ecosistemas nativos.  De igual forma, esta actividad guarda coherencia con estrategias del PGA, como son: Educación ambiental; Participación; Cooperación y coordinación interinstitucional; Manejo físico y ecourbanismo; esto, por cuanto la actividad se hace en coordinación con otras entidades de la Administración </w:t>
            </w:r>
            <w:r w:rsidRPr="009278EC">
              <w:rPr>
                <w:rFonts w:ascii="Arial" w:hAnsi="Arial" w:cs="Arial"/>
                <w:sz w:val="16"/>
                <w:szCs w:val="16"/>
              </w:rPr>
              <w:lastRenderedPageBreak/>
              <w:t xml:space="preserve">Distrital, vincula a la comunidad, se generan acciones de eduación ambiental relacionadas con la gestión del riesgo por incendio forestal y aporta al manejo integral del riesgo. Los siguientes contratos no corresponden a una actividad específica, sin embargo aportan al cumplimiento de la meta: Recuperación ecológica participativa de 520 hectáreas en suelo de protección </w:t>
            </w:r>
            <w:r w:rsidRPr="009278EC">
              <w:rPr>
                <w:rFonts w:ascii="Arial" w:hAnsi="Arial" w:cs="Arial"/>
                <w:sz w:val="16"/>
                <w:szCs w:val="16"/>
              </w:rPr>
              <w:br/>
              <w:t>1. 174/2015</w:t>
            </w:r>
            <w:r w:rsidRPr="009278EC">
              <w:rPr>
                <w:rFonts w:ascii="Arial" w:hAnsi="Arial" w:cs="Arial"/>
                <w:sz w:val="16"/>
                <w:szCs w:val="16"/>
              </w:rPr>
              <w:br/>
              <w:t>2. 187/2015</w:t>
            </w:r>
            <w:r w:rsidRPr="009278EC">
              <w:rPr>
                <w:rFonts w:ascii="Arial" w:hAnsi="Arial" w:cs="Arial"/>
                <w:sz w:val="16"/>
                <w:szCs w:val="16"/>
              </w:rPr>
              <w:br/>
              <w:t>3. 1033/2015</w:t>
            </w:r>
            <w:r w:rsidRPr="009278EC">
              <w:rPr>
                <w:rFonts w:ascii="Arial" w:hAnsi="Arial" w:cs="Arial"/>
                <w:sz w:val="16"/>
                <w:szCs w:val="16"/>
              </w:rPr>
              <w:br/>
              <w:t>4.1028 /2015</w:t>
            </w:r>
            <w:r w:rsidRPr="009278EC">
              <w:rPr>
                <w:rFonts w:ascii="Arial" w:hAnsi="Arial" w:cs="Arial"/>
                <w:sz w:val="16"/>
                <w:szCs w:val="16"/>
              </w:rPr>
              <w:br/>
              <w:t>5. 1217/2015</w:t>
            </w:r>
            <w:r w:rsidRPr="009278EC">
              <w:rPr>
                <w:rFonts w:ascii="Arial" w:hAnsi="Arial" w:cs="Arial"/>
                <w:sz w:val="16"/>
                <w:szCs w:val="16"/>
              </w:rPr>
              <w:br/>
              <w:t>6. 1336/2015</w:t>
            </w:r>
            <w:r w:rsidRPr="009278EC">
              <w:rPr>
                <w:rFonts w:ascii="Arial" w:hAnsi="Arial" w:cs="Arial"/>
                <w:sz w:val="16"/>
                <w:szCs w:val="16"/>
              </w:rPr>
              <w:br/>
              <w:t>7. 182/2015</w:t>
            </w:r>
          </w:p>
        </w:tc>
      </w:tr>
      <w:tr w:rsidR="009278EC" w:rsidRPr="009278EC" w:rsidTr="009278EC">
        <w:trPr>
          <w:trHeight w:val="1002"/>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Definición de alternativas para establecer mecanismos de gestión en las zonas identificadas como estratégicas para la conectividad del corredor de borde de la Reserva Forestal Tomas Van der Hammen</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18. Participar en el proceso de concertación del Plan de Manejo Ambiental – PMA – de la Reserva Forestal Regional Productora del Norte de Bogotá D.C., “Thomas Van der Hammen" liderado por la CAR y desarrollar procesos de gestión relacionados con el tema.</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Durante la vigencia 2015, se desarrollaron las siguientes actividades: </w:t>
            </w:r>
            <w:r w:rsidRPr="009278EC">
              <w:rPr>
                <w:rFonts w:ascii="Arial" w:hAnsi="Arial" w:cs="Arial"/>
                <w:sz w:val="16"/>
                <w:szCs w:val="16"/>
              </w:rPr>
              <w:br/>
            </w:r>
            <w:r w:rsidRPr="009278EC">
              <w:rPr>
                <w:rFonts w:ascii="Arial" w:hAnsi="Arial" w:cs="Arial"/>
                <w:b/>
                <w:bCs/>
                <w:sz w:val="16"/>
                <w:szCs w:val="16"/>
              </w:rPr>
              <w:t xml:space="preserve">1er Trimestre: </w:t>
            </w:r>
            <w:r w:rsidRPr="009278EC">
              <w:rPr>
                <w:rFonts w:ascii="Arial" w:hAnsi="Arial" w:cs="Arial"/>
                <w:sz w:val="16"/>
                <w:szCs w:val="16"/>
              </w:rPr>
              <w:br/>
              <w:t>Durante el primer trimestre de 2015, se hizo la revisión interinstitucional del Plan de Acción del PMA adoptado por la CAR en 2014, encontrándose que la SDA podría apoyar el desarrollo de varias de las actividades propuestas; (Nota: para algunas se requiere contar con predios disponibles para su ejecución*):</w:t>
            </w:r>
            <w:r w:rsidRPr="009278EC">
              <w:rPr>
                <w:rFonts w:ascii="Arial" w:hAnsi="Arial" w:cs="Arial"/>
                <w:sz w:val="16"/>
                <w:szCs w:val="16"/>
              </w:rPr>
              <w:br/>
              <w:t>Preservación ambiental:</w:t>
            </w:r>
            <w:r w:rsidRPr="009278EC">
              <w:rPr>
                <w:rFonts w:ascii="Arial" w:hAnsi="Arial" w:cs="Arial"/>
                <w:sz w:val="16"/>
                <w:szCs w:val="16"/>
              </w:rPr>
              <w:br/>
              <w:t>- Implementación de sistemas de enriquecimiento para el bosque de Las Mercedes.</w:t>
            </w:r>
            <w:r w:rsidRPr="009278EC">
              <w:rPr>
                <w:rFonts w:ascii="Arial" w:hAnsi="Arial" w:cs="Arial"/>
                <w:sz w:val="16"/>
                <w:szCs w:val="16"/>
              </w:rPr>
              <w:br/>
              <w:t>- Implementación de un esquema de pago por servicios ambientales.</w:t>
            </w:r>
            <w:r w:rsidRPr="009278EC">
              <w:rPr>
                <w:rFonts w:ascii="Arial" w:hAnsi="Arial" w:cs="Arial"/>
                <w:sz w:val="16"/>
                <w:szCs w:val="16"/>
              </w:rPr>
              <w:br/>
              <w:t>Restauración ambiental:</w:t>
            </w:r>
            <w:r w:rsidRPr="009278EC">
              <w:rPr>
                <w:rFonts w:ascii="Arial" w:hAnsi="Arial" w:cs="Arial"/>
                <w:sz w:val="16"/>
                <w:szCs w:val="16"/>
              </w:rPr>
              <w:br/>
              <w:t>- Establecimiento de corredores de conectividad: Sector borde y en sentido Oriente-Occidente y Norte-Sur*. (En proceso iniciativa Distrital de recuperación de la quebrada La Salitrosa)</w:t>
            </w:r>
            <w:r w:rsidRPr="009278EC">
              <w:rPr>
                <w:rFonts w:ascii="Arial" w:hAnsi="Arial" w:cs="Arial"/>
                <w:sz w:val="16"/>
                <w:szCs w:val="16"/>
              </w:rPr>
              <w:br/>
              <w:t>- Aulas de restauración ecológica ambiental*.</w:t>
            </w:r>
            <w:r w:rsidRPr="009278EC">
              <w:rPr>
                <w:rFonts w:ascii="Arial" w:hAnsi="Arial" w:cs="Arial"/>
                <w:sz w:val="16"/>
                <w:szCs w:val="16"/>
              </w:rPr>
              <w:br/>
              <w:t>- Implementación de herramientas del paisaje.</w:t>
            </w:r>
            <w:r w:rsidRPr="009278EC">
              <w:rPr>
                <w:rFonts w:ascii="Arial" w:hAnsi="Arial" w:cs="Arial"/>
                <w:sz w:val="16"/>
                <w:szCs w:val="16"/>
              </w:rPr>
              <w:br/>
              <w:t>- Recuperación y mantenimiento de la estructura ecológica de los humedales.</w:t>
            </w:r>
            <w:r w:rsidRPr="009278EC">
              <w:rPr>
                <w:rFonts w:ascii="Arial" w:hAnsi="Arial" w:cs="Arial"/>
                <w:sz w:val="16"/>
                <w:szCs w:val="16"/>
              </w:rPr>
              <w:br/>
              <w:t>- Recuperación del sistema de canales de drenaje.</w:t>
            </w:r>
            <w:r w:rsidRPr="009278EC">
              <w:rPr>
                <w:rFonts w:ascii="Arial" w:hAnsi="Arial" w:cs="Arial"/>
                <w:sz w:val="16"/>
                <w:szCs w:val="16"/>
              </w:rPr>
              <w:br/>
              <w:t>- Sustitución de especies exóticas e invasoras.</w:t>
            </w:r>
            <w:r w:rsidRPr="009278EC">
              <w:rPr>
                <w:rFonts w:ascii="Arial" w:hAnsi="Arial" w:cs="Arial"/>
                <w:sz w:val="16"/>
                <w:szCs w:val="16"/>
              </w:rPr>
              <w:br/>
              <w:t>Educación ambiental:</w:t>
            </w:r>
            <w:r w:rsidRPr="009278EC">
              <w:rPr>
                <w:rFonts w:ascii="Arial" w:hAnsi="Arial" w:cs="Arial"/>
                <w:sz w:val="16"/>
                <w:szCs w:val="16"/>
              </w:rPr>
              <w:br/>
              <w:t>- Proyectos ambientales educativos: PRAES, ciudadanos-PROCEDAS y universitarios-PRAUS y participación ciudadana.</w:t>
            </w:r>
            <w:r w:rsidRPr="009278EC">
              <w:rPr>
                <w:rFonts w:ascii="Arial" w:hAnsi="Arial" w:cs="Arial"/>
                <w:sz w:val="16"/>
                <w:szCs w:val="16"/>
              </w:rPr>
              <w:br/>
              <w:t>Comunicación y divulgación:</w:t>
            </w:r>
            <w:r w:rsidRPr="009278EC">
              <w:rPr>
                <w:rFonts w:ascii="Arial" w:hAnsi="Arial" w:cs="Arial"/>
                <w:sz w:val="16"/>
                <w:szCs w:val="16"/>
              </w:rPr>
              <w:br/>
              <w:t>- Comunicación y divulgación de valores ambientales y culturales de la reserva</w:t>
            </w:r>
            <w:r w:rsidRPr="009278EC">
              <w:rPr>
                <w:rFonts w:ascii="Arial" w:hAnsi="Arial" w:cs="Arial"/>
                <w:sz w:val="16"/>
                <w:szCs w:val="16"/>
              </w:rPr>
              <w:br/>
            </w:r>
            <w:r w:rsidRPr="009278EC">
              <w:rPr>
                <w:rFonts w:ascii="Arial" w:hAnsi="Arial" w:cs="Arial"/>
                <w:b/>
                <w:bCs/>
                <w:sz w:val="16"/>
                <w:szCs w:val="16"/>
              </w:rPr>
              <w:t xml:space="preserve">2do Trimestre: </w:t>
            </w:r>
            <w:r w:rsidRPr="009278EC">
              <w:rPr>
                <w:rFonts w:ascii="Arial" w:hAnsi="Arial" w:cs="Arial"/>
                <w:sz w:val="16"/>
                <w:szCs w:val="16"/>
              </w:rPr>
              <w:br/>
            </w:r>
            <w:r w:rsidRPr="009278EC">
              <w:rPr>
                <w:rFonts w:ascii="Arial" w:hAnsi="Arial" w:cs="Arial"/>
                <w:sz w:val="16"/>
                <w:szCs w:val="16"/>
              </w:rPr>
              <w:lastRenderedPageBreak/>
              <w:t xml:space="preserve">Entre abril y junio de 2015 se realizaron sesiones de trabajo entre entidades de Distrito, (MESA DISTRITAL DE SEGUIMIENTO AL PMA) y del Distrito con la CAR (MESA CAR - DISTRITO), en las cuales se identificaron acciones y/o aportes de las partes relacionadas con el avance en la ejecución del PMA de la Reserva y se establecieron compromisos puntuales para cada parte. </w:t>
            </w:r>
            <w:r w:rsidRPr="009278EC">
              <w:rPr>
                <w:rFonts w:ascii="Arial" w:hAnsi="Arial" w:cs="Arial"/>
                <w:sz w:val="16"/>
                <w:szCs w:val="16"/>
              </w:rPr>
              <w:br/>
              <w:t>1. Recursos:</w:t>
            </w:r>
            <w:r w:rsidRPr="009278EC">
              <w:rPr>
                <w:rFonts w:ascii="Arial" w:hAnsi="Arial" w:cs="Arial"/>
                <w:sz w:val="16"/>
                <w:szCs w:val="16"/>
              </w:rPr>
              <w:br/>
              <w:t>Se identificaron las acciones y recursos comprometidos o en proceso de comprometerse por el D.C. y por la CAR  por un monto de  $ 1.477.000.000 pesos de la vigencia 2015, para ejecutar proyectos contenidos en el PMA (Reunión mayo 13 de 2015). Al respecto, la CAR informó sobre presupuestos aproximados comprometidos para la vigencia 2015:</w:t>
            </w:r>
            <w:r w:rsidRPr="009278EC">
              <w:rPr>
                <w:rFonts w:ascii="Arial" w:hAnsi="Arial" w:cs="Arial"/>
                <w:sz w:val="16"/>
                <w:szCs w:val="16"/>
              </w:rPr>
              <w:br/>
              <w:t>• Diseño de la Reserva: 390 millones</w:t>
            </w:r>
            <w:r w:rsidRPr="009278EC">
              <w:rPr>
                <w:rFonts w:ascii="Arial" w:hAnsi="Arial" w:cs="Arial"/>
                <w:sz w:val="16"/>
                <w:szCs w:val="16"/>
              </w:rPr>
              <w:br/>
              <w:t>• Amojonamiento: 300 millones</w:t>
            </w:r>
            <w:r w:rsidRPr="009278EC">
              <w:rPr>
                <w:rFonts w:ascii="Arial" w:hAnsi="Arial" w:cs="Arial"/>
                <w:sz w:val="16"/>
                <w:szCs w:val="16"/>
              </w:rPr>
              <w:br/>
              <w:t>• Divulgación: 95 millones</w:t>
            </w:r>
            <w:r w:rsidRPr="009278EC">
              <w:rPr>
                <w:rFonts w:ascii="Arial" w:hAnsi="Arial" w:cs="Arial"/>
                <w:sz w:val="16"/>
                <w:szCs w:val="16"/>
              </w:rPr>
              <w:br/>
              <w:t>• Uso público: 230 millones</w:t>
            </w:r>
            <w:r w:rsidRPr="009278EC">
              <w:rPr>
                <w:rFonts w:ascii="Arial" w:hAnsi="Arial" w:cs="Arial"/>
                <w:sz w:val="16"/>
                <w:szCs w:val="16"/>
              </w:rPr>
              <w:br/>
              <w:t>El Distrito presentó a la CAR una síntesis de los recursos ejecutados, comprometidos o por comprometer para las gestiones del Distrito dentro de la Reserva:</w:t>
            </w:r>
            <w:r w:rsidRPr="009278EC">
              <w:rPr>
                <w:rFonts w:ascii="Arial" w:hAnsi="Arial" w:cs="Arial"/>
                <w:sz w:val="16"/>
                <w:szCs w:val="16"/>
              </w:rPr>
              <w:br/>
              <w:t>• Implementación de sistemas de enriquecimiento para el bosque de Las Mercedes: intervenciones del Jardín Botánico por valor de $ 797.000.000, entre 2013 y 2015.</w:t>
            </w:r>
            <w:r w:rsidRPr="009278EC">
              <w:rPr>
                <w:rFonts w:ascii="Arial" w:hAnsi="Arial" w:cs="Arial"/>
                <w:sz w:val="16"/>
                <w:szCs w:val="16"/>
              </w:rPr>
              <w:br/>
              <w:t>• Compra de predios para la conservación: Recursos de la EAB por 21.000 millones de pesos y de la SDA a través del Fondiger por valor de 90.000 millones de pesos.</w:t>
            </w:r>
            <w:r w:rsidRPr="009278EC">
              <w:rPr>
                <w:rFonts w:ascii="Arial" w:hAnsi="Arial" w:cs="Arial"/>
                <w:sz w:val="16"/>
                <w:szCs w:val="16"/>
              </w:rPr>
              <w:br/>
              <w:t>Esto para un valor de $ 797.000.000 pesos invertidos y $ 111.000.000.000  para ejecutar en adquisición predial.</w:t>
            </w:r>
            <w:r w:rsidRPr="009278EC">
              <w:rPr>
                <w:rFonts w:ascii="Arial" w:hAnsi="Arial" w:cs="Arial"/>
                <w:sz w:val="16"/>
                <w:szCs w:val="16"/>
              </w:rPr>
              <w:br/>
              <w:t xml:space="preserve">A partir de la información obtenida en las reuniones entre la CAR y el Distrito, se elaboró una herramienta de seguimiento a los </w:t>
            </w:r>
            <w:r w:rsidRPr="009278EC">
              <w:rPr>
                <w:rFonts w:ascii="Arial" w:hAnsi="Arial" w:cs="Arial"/>
                <w:sz w:val="16"/>
                <w:szCs w:val="16"/>
              </w:rPr>
              <w:lastRenderedPageBreak/>
              <w:t>proyectos del PMA (Documento anexo).</w:t>
            </w:r>
            <w:r w:rsidRPr="009278EC">
              <w:rPr>
                <w:rFonts w:ascii="Arial" w:hAnsi="Arial" w:cs="Arial"/>
                <w:sz w:val="16"/>
                <w:szCs w:val="16"/>
              </w:rPr>
              <w:br/>
              <w:t>2. Coordinación</w:t>
            </w:r>
            <w:r w:rsidRPr="009278EC">
              <w:rPr>
                <w:rFonts w:ascii="Arial" w:hAnsi="Arial" w:cs="Arial"/>
                <w:sz w:val="16"/>
                <w:szCs w:val="16"/>
              </w:rPr>
              <w:br/>
              <w:t>La SDA se comprometió a elaborar un documento base para la conformación de la Mesa Técnica de Coordinación CAR – DC, de manera que se formalicen los avances y compromisos por cada instancia -CAR – DC- (Documento anexo).</w:t>
            </w:r>
            <w:r w:rsidRPr="009278EC">
              <w:rPr>
                <w:rFonts w:ascii="Arial" w:hAnsi="Arial" w:cs="Arial"/>
                <w:sz w:val="16"/>
                <w:szCs w:val="16"/>
              </w:rPr>
              <w:br/>
              <w:t>3. Actividades en proceso de trabajo</w:t>
            </w:r>
            <w:r w:rsidRPr="009278EC">
              <w:rPr>
                <w:rFonts w:ascii="Arial" w:hAnsi="Arial" w:cs="Arial"/>
                <w:sz w:val="16"/>
                <w:szCs w:val="16"/>
              </w:rPr>
              <w:br/>
              <w:t>• Se concertó con la CAR que trabajará el proyecto de reglamento del Comité CAR – DC. (Pendiente)</w:t>
            </w:r>
            <w:r w:rsidRPr="009278EC">
              <w:rPr>
                <w:rFonts w:ascii="Arial" w:hAnsi="Arial" w:cs="Arial"/>
                <w:sz w:val="16"/>
                <w:szCs w:val="16"/>
              </w:rPr>
              <w:br/>
              <w:t>• La SDA y SDP trabajarán en un cuadro de presupuestos estimados y/o en ejecución del PMA. (Elaborado).</w:t>
            </w:r>
            <w:r w:rsidRPr="009278EC">
              <w:rPr>
                <w:rFonts w:ascii="Arial" w:hAnsi="Arial" w:cs="Arial"/>
                <w:sz w:val="16"/>
                <w:szCs w:val="16"/>
              </w:rPr>
              <w:br/>
              <w:t>• La SDA averiguará si es posible hacer un análisis multitemporal del Humedal El Conejito. (En proceso de elaboración).</w:t>
            </w:r>
            <w:r w:rsidRPr="009278EC">
              <w:rPr>
                <w:rFonts w:ascii="Arial" w:hAnsi="Arial" w:cs="Arial"/>
                <w:sz w:val="16"/>
                <w:szCs w:val="16"/>
              </w:rPr>
              <w:br/>
              <w:t>• Tanto la CAR como la SDA solicitarán información sobre los sancionatorios en predios de la Reserva. (La SER solicitó la información a la DLA de la SDA).</w:t>
            </w:r>
            <w:r w:rsidRPr="009278EC">
              <w:rPr>
                <w:rFonts w:ascii="Arial" w:hAnsi="Arial" w:cs="Arial"/>
                <w:sz w:val="16"/>
                <w:szCs w:val="16"/>
              </w:rPr>
              <w:br/>
              <w:t>• La SDA elaborará propuesta de conformación de la Mesa Técnica de Coordinación CAR – DC (Elaborada).</w:t>
            </w:r>
            <w:r w:rsidRPr="009278EC">
              <w:rPr>
                <w:rFonts w:ascii="Arial" w:hAnsi="Arial" w:cs="Arial"/>
                <w:sz w:val="16"/>
                <w:szCs w:val="16"/>
              </w:rPr>
              <w:br/>
              <w:t>4. Acciones o procesos relacionados con la conectividad del Borde Norte</w:t>
            </w:r>
            <w:r w:rsidRPr="009278EC">
              <w:rPr>
                <w:rFonts w:ascii="Arial" w:hAnsi="Arial" w:cs="Arial"/>
                <w:sz w:val="16"/>
                <w:szCs w:val="16"/>
              </w:rPr>
              <w:br/>
              <w:t xml:space="preserve">• Se culminó DTS para la aprobación del PMA del PEDM Cerro La Conejera. </w:t>
            </w:r>
            <w:r w:rsidRPr="009278EC">
              <w:rPr>
                <w:rFonts w:ascii="Arial" w:hAnsi="Arial" w:cs="Arial"/>
                <w:sz w:val="16"/>
                <w:szCs w:val="16"/>
              </w:rPr>
              <w:br/>
              <w:t>• Se culminó DTS para la medida de protección de los Cerros de Suba, según ajustes finales propuestos por la DGA.</w:t>
            </w:r>
            <w:r w:rsidRPr="009278EC">
              <w:rPr>
                <w:rFonts w:ascii="Arial" w:hAnsi="Arial" w:cs="Arial"/>
                <w:sz w:val="16"/>
                <w:szCs w:val="16"/>
              </w:rPr>
              <w:br/>
            </w:r>
            <w:r w:rsidRPr="009278EC">
              <w:rPr>
                <w:rFonts w:ascii="Arial" w:hAnsi="Arial" w:cs="Arial"/>
                <w:b/>
                <w:bCs/>
                <w:sz w:val="16"/>
                <w:szCs w:val="16"/>
              </w:rPr>
              <w:t xml:space="preserve">3er Trimestre: </w:t>
            </w:r>
            <w:r w:rsidRPr="009278EC">
              <w:rPr>
                <w:rFonts w:ascii="Arial" w:hAnsi="Arial" w:cs="Arial"/>
                <w:sz w:val="16"/>
                <w:szCs w:val="16"/>
              </w:rPr>
              <w:br/>
              <w:t>1. Actividades específicas relacionadas con la RTvdH:</w:t>
            </w:r>
            <w:r w:rsidRPr="009278EC">
              <w:rPr>
                <w:rFonts w:ascii="Arial" w:hAnsi="Arial" w:cs="Arial"/>
                <w:sz w:val="16"/>
                <w:szCs w:val="16"/>
              </w:rPr>
              <w:br/>
              <w:t xml:space="preserve">- Ajuste final del documento base del Acto Administrativo para la conformación de la Mesa Técnica del Plan de Manejo de la Reserva, el cual fue revisado por la Oficina Jurídica de la CAR y en proceso de revisión por las secretarías de Planeación, </w:t>
            </w:r>
            <w:r w:rsidRPr="009278EC">
              <w:rPr>
                <w:rFonts w:ascii="Arial" w:hAnsi="Arial" w:cs="Arial"/>
                <w:sz w:val="16"/>
                <w:szCs w:val="16"/>
              </w:rPr>
              <w:lastRenderedPageBreak/>
              <w:t>Gobierno y Ambiente.</w:t>
            </w:r>
            <w:r w:rsidRPr="009278EC">
              <w:rPr>
                <w:rFonts w:ascii="Arial" w:hAnsi="Arial" w:cs="Arial"/>
                <w:sz w:val="16"/>
                <w:szCs w:val="16"/>
              </w:rPr>
              <w:br/>
              <w:t xml:space="preserve">- Apoyo a la elaboración técnica de mapas para el análisis multitemporal del humedal El Conejito. </w:t>
            </w:r>
            <w:r w:rsidRPr="009278EC">
              <w:rPr>
                <w:rFonts w:ascii="Arial" w:hAnsi="Arial" w:cs="Arial"/>
                <w:sz w:val="16"/>
                <w:szCs w:val="16"/>
              </w:rPr>
              <w:br/>
              <w:t xml:space="preserve">- Elaboración de la propuesta base del Proyecto para la recuperación integral del Humedal El Conejito, localizado dentro de la Reserva. </w:t>
            </w:r>
            <w:r w:rsidRPr="009278EC">
              <w:rPr>
                <w:rFonts w:ascii="Arial" w:hAnsi="Arial" w:cs="Arial"/>
                <w:sz w:val="16"/>
                <w:szCs w:val="16"/>
              </w:rPr>
              <w:br/>
              <w:t xml:space="preserve">- Se solicitó a la Dirección Legal Ambiental de la SDA una relación de procesos sancionatorios en el entorno de la Reserva, del cual no se ha obtenido respuesta. Esta información será compartida con la CAR como insumo para los procesos sancionatorios que se han realizado, deban iniciar o se encuentren en curso por parte de esa entidad. </w:t>
            </w:r>
            <w:r w:rsidRPr="009278EC">
              <w:rPr>
                <w:rFonts w:ascii="Arial" w:hAnsi="Arial" w:cs="Arial"/>
                <w:sz w:val="16"/>
                <w:szCs w:val="16"/>
              </w:rPr>
              <w:br/>
              <w:t xml:space="preserve">- Se apoyó a la Comisión Conjunta CAR-Distrito en el análisis de la pertinencia del establecimiento de un cerramiento en el costado norte del Humedal La Conejera, dentro de la Reserva Forestal Productora del Norte "Thomas van der Hammen". Se elaboró un documento de recomendaciones sobre la propuesta de cerramiento presentada por la Alcaldía Local de Suba. </w:t>
            </w:r>
            <w:r w:rsidRPr="009278EC">
              <w:rPr>
                <w:rFonts w:ascii="Arial" w:hAnsi="Arial" w:cs="Arial"/>
                <w:sz w:val="16"/>
                <w:szCs w:val="16"/>
              </w:rPr>
              <w:br/>
              <w:t xml:space="preserve">- Se coordinó reunión informativa del Plan de manejo de la Hacienda La Conejera, a la cual asistieron profesionales de la DGA y de la SER. </w:t>
            </w:r>
            <w:r w:rsidRPr="009278EC">
              <w:rPr>
                <w:rFonts w:ascii="Arial" w:hAnsi="Arial" w:cs="Arial"/>
                <w:sz w:val="16"/>
                <w:szCs w:val="16"/>
              </w:rPr>
              <w:br/>
              <w:t>- Se apoyó la revisión de actos administrativos de la SDA: Decreto de declaratoria de Utilidad Pública de la Reserva, Resolución de medida de protección del PEDH Torca-Guaymaral, Resolución de medida de protección de los Cerros de Suba.</w:t>
            </w:r>
            <w:r w:rsidRPr="009278EC">
              <w:rPr>
                <w:rFonts w:ascii="Arial" w:hAnsi="Arial" w:cs="Arial"/>
                <w:sz w:val="16"/>
                <w:szCs w:val="16"/>
              </w:rPr>
              <w:br/>
            </w:r>
            <w:r w:rsidRPr="009278EC">
              <w:rPr>
                <w:rFonts w:ascii="Arial" w:hAnsi="Arial" w:cs="Arial"/>
                <w:b/>
                <w:bCs/>
                <w:sz w:val="16"/>
                <w:szCs w:val="16"/>
              </w:rPr>
              <w:t xml:space="preserve">4to Trimestre: </w:t>
            </w:r>
            <w:r w:rsidRPr="009278EC">
              <w:rPr>
                <w:rFonts w:ascii="Arial" w:hAnsi="Arial" w:cs="Arial"/>
                <w:sz w:val="16"/>
                <w:szCs w:val="16"/>
              </w:rPr>
              <w:br/>
              <w:t>1. Actividades específicas relacionadas con la RTvdH:</w:t>
            </w:r>
            <w:r w:rsidRPr="009278EC">
              <w:rPr>
                <w:rFonts w:ascii="Arial" w:hAnsi="Arial" w:cs="Arial"/>
                <w:sz w:val="16"/>
                <w:szCs w:val="16"/>
              </w:rPr>
              <w:br/>
              <w:t xml:space="preserve">- Se concluyó proceso de coordinación para la definición de un proceso contractual de la Alcaldía Local de Suba, cuyo objetivo es establecer un cerramiento perimetral del Humedal La Conejera, </w:t>
            </w:r>
            <w:r w:rsidRPr="009278EC">
              <w:rPr>
                <w:rFonts w:ascii="Arial" w:hAnsi="Arial" w:cs="Arial"/>
                <w:sz w:val="16"/>
                <w:szCs w:val="16"/>
              </w:rPr>
              <w:lastRenderedPageBreak/>
              <w:t xml:space="preserve">incluido un tramo por el costado norte del Humedal,  dentro de la Reserva Forestal Productora del Norte "Thomas van der Hammen".Dentro de este proceso se logró, mediante los argumentos técnicos aportados por la SER, replantear el tramo de cerramiento en el costado norte del Humedal, el cual fue eliminado de la propuesta inicial de la Alcaldía de Suba, por cuanto generaba el fraccionamiento del ecosistema y la interrupción de la conectividad física entre el Bosque de las Mercedes y el Humedal. </w:t>
            </w:r>
            <w:r w:rsidRPr="009278EC">
              <w:rPr>
                <w:rFonts w:ascii="Arial" w:hAnsi="Arial" w:cs="Arial"/>
                <w:sz w:val="16"/>
                <w:szCs w:val="16"/>
              </w:rPr>
              <w:br/>
              <w:t xml:space="preserve">- Se aportó al DTS para la aprobación del PMA del cerro La Conejera; el documento ajustado, según indicaciones de la DPSIA se remitió por correo electrónico al Dr. Gustavo Carrión para su aprobación final y remisión a la DLA. </w:t>
            </w:r>
            <w:r w:rsidRPr="009278EC">
              <w:rPr>
                <w:rFonts w:ascii="Arial" w:hAnsi="Arial" w:cs="Arial"/>
                <w:sz w:val="16"/>
                <w:szCs w:val="16"/>
              </w:rPr>
              <w:br/>
              <w:t>- Se apoyó a la SDA en la elaboración conjunta (SER-DPSIA-SPPA) de información técnica de soporte a la Medida de Protección de los Cerros de Suba, como insumo para la defensa judicial de la SDA.</w:t>
            </w:r>
          </w:p>
        </w:tc>
        <w:tc>
          <w:tcPr>
            <w:tcW w:w="170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 xml:space="preserve">Ocupación Armónica y Equilibrada del Territorio </w:t>
            </w:r>
          </w:p>
        </w:tc>
        <w:tc>
          <w:tcPr>
            <w:tcW w:w="1559"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Cooperación y Coordinación Interinstitucional</w:t>
            </w:r>
          </w:p>
        </w:tc>
        <w:tc>
          <w:tcPr>
            <w:tcW w:w="1669" w:type="dxa"/>
            <w:noWrap/>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615/2015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guarda coherencia con el objetivo "Ocupación Armónica y Equilibrada del Territorio" dado que el PMA busca establecer los usos de suelo, dar lineamientos y establecer proyectos para el manejo sostenible y consolidación de la reserva y de los recursos allí establecidos. </w:t>
            </w:r>
            <w:r w:rsidRPr="009278EC">
              <w:rPr>
                <w:rFonts w:ascii="Arial" w:hAnsi="Arial" w:cs="Arial"/>
                <w:sz w:val="16"/>
                <w:szCs w:val="16"/>
              </w:rPr>
              <w:br/>
            </w:r>
            <w:r w:rsidRPr="009278EC">
              <w:rPr>
                <w:rFonts w:ascii="Arial" w:hAnsi="Arial" w:cs="Arial"/>
                <w:sz w:val="16"/>
                <w:szCs w:val="16"/>
              </w:rPr>
              <w:br/>
              <w:t>Igualmente guarda coherencia y concordancia con la estrategia "Cooperación y Coordinación Interinstitucional" debido a que la actividad se desarrolló de manera conjunta con entidades del orden Regional como la CAR, desde este punto de vista la entidad aportó posibles ideas para la conservación de hitos ambientales y generación de conectores ecológicos entre áreas estratégicas de la ciudad; también se trabajó de manera conjunta con otras entidades distritales en el marco del principio de corresponsabilidad a fin de opinar y proponer  responsablidad y seguimiento de avance a la intervención propuesta por el  PMA.</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19.Apoyar el seguimiento a la formulación del Plan de Manejo Ambiental de Cerro de Torca </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Se aprobaron los productos del PMA del PEDM Cerro de Torca  y se remitieron a la CAR para su aprobación; se coordinó con la DPSIA la entrega final del Documento Técnico de Soporte para la aprobación del PMA del Cerro de Torca; está pendiente la  aprobación final  por parte de la DPSIA y su remisión a la DLA.</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615/2015</w:t>
            </w:r>
            <w:r w:rsidRPr="009278EC">
              <w:rPr>
                <w:rFonts w:ascii="Arial" w:hAnsi="Arial" w:cs="Arial"/>
                <w:sz w:val="16"/>
                <w:szCs w:val="16"/>
              </w:rPr>
              <w:br/>
              <w:t>2. 1505/2013</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Ésta actividad guarda coherencia con el objetivo "Ocupación Armónica y Equilibrada del Territorio" dado que la elaboración del instrumento se hace para fortalecer la gestión ambiental, a través de lineamientos, estrategias, proyectos y programas con los cuales se armonicen las relaciones del área, su población y los ecosistemas de interés, como también que se prevengan y mitiguen los impactos negativos y se favorezcan aquellos beneficos para el área.</w:t>
            </w:r>
            <w:r w:rsidRPr="009278EC">
              <w:rPr>
                <w:rFonts w:ascii="Arial" w:hAnsi="Arial" w:cs="Arial"/>
                <w:sz w:val="16"/>
                <w:szCs w:val="16"/>
              </w:rPr>
              <w:br/>
            </w:r>
            <w:r w:rsidRPr="009278EC">
              <w:rPr>
                <w:rFonts w:ascii="Arial" w:hAnsi="Arial" w:cs="Arial"/>
                <w:sz w:val="16"/>
                <w:szCs w:val="16"/>
              </w:rPr>
              <w:br/>
              <w:t xml:space="preserve">Por otra parte, se guarda coherencia y </w:t>
            </w:r>
            <w:r w:rsidRPr="009278EC">
              <w:rPr>
                <w:rFonts w:ascii="Arial" w:hAnsi="Arial" w:cs="Arial"/>
                <w:sz w:val="16"/>
                <w:szCs w:val="16"/>
              </w:rPr>
              <w:lastRenderedPageBreak/>
              <w:t>concordancia con la estrategia "Cooperación y Coordinación Interinstitucional" debido a que la actividad se culmina con la aprobación del instrumento por parte de la CAR, y con ello se promueve la gestión ambiental enmarcada dentro del principio de corresponsabilidad y la generación de procesos orientadores de los criterios de sostenibilidad ambiental urbano regional entre las entidades distritales de acuerdo con sus competencias y sus áreas de influencia.</w:t>
            </w:r>
          </w:p>
        </w:tc>
      </w:tr>
      <w:tr w:rsidR="009278EC" w:rsidRPr="009278EC" w:rsidTr="009278EC">
        <w:trPr>
          <w:trHeight w:val="1002"/>
        </w:trPr>
        <w:tc>
          <w:tcPr>
            <w:tcW w:w="122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Formular 4 modelos de ocupación en la franja de transición</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20. Adelantar la concertación interinstitucional y gestiones necesarias para el fortalecimiento local y regional del modelo de ocupación campesino del territorio borde sur, como estrategia para detener la expansión urbana sobre el suelo de protección y la ruralidad del D.C.</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Durante el año 2015 se realizaron las siguientes acciones: </w:t>
            </w:r>
            <w:r w:rsidRPr="009278EC">
              <w:rPr>
                <w:rFonts w:ascii="Arial" w:hAnsi="Arial" w:cs="Arial"/>
                <w:sz w:val="16"/>
                <w:szCs w:val="16"/>
              </w:rPr>
              <w:br/>
            </w:r>
            <w:r w:rsidRPr="009278EC">
              <w:rPr>
                <w:rFonts w:ascii="Arial" w:hAnsi="Arial" w:cs="Arial"/>
                <w:b/>
                <w:bCs/>
                <w:sz w:val="16"/>
                <w:szCs w:val="16"/>
              </w:rPr>
              <w:t xml:space="preserve">1er Trimestre: </w:t>
            </w:r>
            <w:r w:rsidRPr="009278EC">
              <w:rPr>
                <w:rFonts w:ascii="Arial" w:hAnsi="Arial" w:cs="Arial"/>
                <w:sz w:val="16"/>
                <w:szCs w:val="16"/>
              </w:rPr>
              <w:br/>
              <w:t xml:space="preserve">Durante el primer trimestre de 2015, se  terminó la primera versión del documento "Propuesta de lineamientos ambientales para el modelo de ocupación de la franja de transición del borde sur de Bogotá", el cual de acuerdo con la meta aporta información e insumos del componente biofísico de caracterización del Borde Sur y lineamientos temáticos a tener en cuenta para la gestión de este territorio. </w:t>
            </w:r>
            <w:r w:rsidRPr="009278EC">
              <w:rPr>
                <w:rFonts w:ascii="Arial" w:hAnsi="Arial" w:cs="Arial"/>
                <w:sz w:val="16"/>
                <w:szCs w:val="16"/>
              </w:rPr>
              <w:br/>
              <w:t>Por otra parte se hizo una revisión detallada del documento "Modelo de ocupación en la Franja de Transición urbano rural del borde sur", consolidado por la Secretaría Distrital del Hábitat, identificándose algunos vacíos de información y propuestas de contenidos para los mismos, los cuales fueron entregados a SDH para su respectivo ajuste.</w:t>
            </w:r>
            <w:r w:rsidRPr="009278EC">
              <w:rPr>
                <w:rFonts w:ascii="Arial" w:hAnsi="Arial" w:cs="Arial"/>
                <w:sz w:val="16"/>
                <w:szCs w:val="16"/>
              </w:rPr>
              <w:br/>
            </w:r>
            <w:r w:rsidRPr="009278EC">
              <w:rPr>
                <w:rFonts w:ascii="Arial" w:hAnsi="Arial" w:cs="Arial"/>
                <w:b/>
                <w:bCs/>
                <w:sz w:val="16"/>
                <w:szCs w:val="16"/>
              </w:rPr>
              <w:t xml:space="preserve">2do Trimestre: </w:t>
            </w:r>
            <w:r w:rsidRPr="009278EC">
              <w:rPr>
                <w:rFonts w:ascii="Arial" w:hAnsi="Arial" w:cs="Arial"/>
                <w:sz w:val="16"/>
                <w:szCs w:val="16"/>
              </w:rPr>
              <w:br/>
              <w:t xml:space="preserve">Durante este trimestre, se ajustó el documento  "Propuesta de lineamientos ambientales para el modelo de ocupación de la franja de transición del borde sur de Bogotá", según </w:t>
            </w:r>
            <w:r w:rsidRPr="009278EC">
              <w:rPr>
                <w:rFonts w:ascii="Arial" w:hAnsi="Arial" w:cs="Arial"/>
                <w:sz w:val="16"/>
                <w:szCs w:val="16"/>
              </w:rPr>
              <w:lastRenderedPageBreak/>
              <w:t xml:space="preserve">recomendaciones recibidas de la Dirección de Gestión Ambiental y se incorporó información de los últimos productos aprobados del Convenio 1275 de 2014. </w:t>
            </w:r>
            <w:r w:rsidRPr="009278EC">
              <w:rPr>
                <w:rFonts w:ascii="Arial" w:hAnsi="Arial" w:cs="Arial"/>
                <w:sz w:val="16"/>
                <w:szCs w:val="16"/>
              </w:rPr>
              <w:br/>
              <w:t>En relación a las acciones realizadas en el trimestre, estas se establecen por espacios de trabajo así:</w:t>
            </w:r>
            <w:r w:rsidRPr="009278EC">
              <w:rPr>
                <w:rFonts w:ascii="Arial" w:hAnsi="Arial" w:cs="Arial"/>
                <w:sz w:val="16"/>
                <w:szCs w:val="16"/>
              </w:rPr>
              <w:br/>
              <w:t>-Mesa interinstitucional de concertación de borde de la localidad de Usme, (SDA, SDDE, SDHT).</w:t>
            </w:r>
            <w:r w:rsidRPr="009278EC">
              <w:rPr>
                <w:rFonts w:ascii="Arial" w:hAnsi="Arial" w:cs="Arial"/>
                <w:sz w:val="16"/>
                <w:szCs w:val="16"/>
              </w:rPr>
              <w:br/>
              <w:t>Se elaboró la agenda pública de bordes, liderada por la SDDE con aportes de la comunidad, SDA  y SDHT. Este documento  se encuentra terminado en su formulación y listo validación con la comunidad. La SDA aportó en la construcción del Documento “Plan de vida y desarrollo campesino”, como insumo para la construcción de la figura de gestión social y administración del territorio de zona de borde que adelanta la SDDE, en temas de cartografía social y recorridos por el territorio para levantamiento de información social.</w:t>
            </w:r>
            <w:r w:rsidRPr="009278EC">
              <w:rPr>
                <w:rFonts w:ascii="Arial" w:hAnsi="Arial" w:cs="Arial"/>
                <w:sz w:val="16"/>
                <w:szCs w:val="16"/>
              </w:rPr>
              <w:br/>
              <w:t>-POZ USME.</w:t>
            </w:r>
            <w:r w:rsidRPr="009278EC">
              <w:rPr>
                <w:rFonts w:ascii="Arial" w:hAnsi="Arial" w:cs="Arial"/>
                <w:sz w:val="16"/>
                <w:szCs w:val="16"/>
              </w:rPr>
              <w:br/>
              <w:t xml:space="preserve">Se han efectuado varias jornadas de trabajo, recorridos y georeferenciación de zonas como corredor agroambiental de la Fucha, las zonas dotacionales, y modelo de ocupación campesino,   para complementar los usos y reglamentación de cada una de estas  zonas. Este trabajo con el fin de retroalimentar la propuesta para la modificación del Decreto 252 de 2007, POZ Usme y el borrador de  documento técnico que elabora la SDHT y Metrovivienda  como soporte. </w:t>
            </w:r>
            <w:r w:rsidRPr="009278EC">
              <w:rPr>
                <w:rFonts w:ascii="Arial" w:hAnsi="Arial" w:cs="Arial"/>
                <w:sz w:val="16"/>
                <w:szCs w:val="16"/>
              </w:rPr>
              <w:br/>
              <w:t>-Hallazgo Arqueológico.</w:t>
            </w:r>
            <w:r w:rsidRPr="009278EC">
              <w:rPr>
                <w:rFonts w:ascii="Arial" w:hAnsi="Arial" w:cs="Arial"/>
                <w:sz w:val="16"/>
                <w:szCs w:val="16"/>
              </w:rPr>
              <w:br/>
              <w:t xml:space="preserve">En cuanto a este tema se han abierto unos espacios de reunión y socialización comunitaria, en donde intervienen la Secretaria de Cultura, Alcaldía Local, Metrovivienda para el seguimiento al mandato ciudadano de las comunidades de Usme, mediante el </w:t>
            </w:r>
            <w:r w:rsidRPr="009278EC">
              <w:rPr>
                <w:rFonts w:ascii="Arial" w:hAnsi="Arial" w:cs="Arial"/>
                <w:sz w:val="16"/>
                <w:szCs w:val="16"/>
              </w:rPr>
              <w:lastRenderedPageBreak/>
              <w:t xml:space="preserve">cual se logró la declaración de la hacienda el Carmen, como zona de protección arqueológica y patrimonial. Se acompañan los procesos de  firma del comodato que dio Metrovivienda a la Alcaldía Local de Usme  de la hacienda el Carmen para su Administración.  A su vez la alcaldía Local de Usme está  en proceso de firmar un convenio con la universidad Nacional  para la ejecución de 2.000  millones de pesos que se destinaran, para la construcción del aula museal, continuar con el proceso de investigación Arqueológica y un proceso de divulgación y  socialización  del hallazgo Arqueológico.  </w:t>
            </w:r>
            <w:r w:rsidRPr="009278EC">
              <w:rPr>
                <w:rFonts w:ascii="Arial" w:hAnsi="Arial" w:cs="Arial"/>
                <w:sz w:val="16"/>
                <w:szCs w:val="16"/>
              </w:rPr>
              <w:br/>
              <w:t>-Declaratoria de área protegida Cerro Seco</w:t>
            </w:r>
            <w:r w:rsidRPr="009278EC">
              <w:rPr>
                <w:rFonts w:ascii="Arial" w:hAnsi="Arial" w:cs="Arial"/>
                <w:sz w:val="16"/>
                <w:szCs w:val="16"/>
              </w:rPr>
              <w:br/>
              <w:t>Es un polígono de 358 has (224 has urbanas y 137 has  rurales) para ser declarado bajo la categoría de Parque Ecológico Distrital de Montaña. En esta línea, durante el último trimestre se revisó y se presentaron observaciones al Documento técnico de la propuesta del proyecto de Acuerdo formulado por la SDA y ha presentado las observaciones correspondientes al proyecto de acuerdo presentado por el Concejal Diego García.</w:t>
            </w:r>
            <w:r w:rsidRPr="009278EC">
              <w:rPr>
                <w:rFonts w:ascii="Arial" w:hAnsi="Arial" w:cs="Arial"/>
                <w:sz w:val="16"/>
                <w:szCs w:val="16"/>
              </w:rPr>
              <w:br/>
              <w:t>Implementación de herramientas del paisaje. (Iniciativas Tempranas)</w:t>
            </w:r>
            <w:r w:rsidRPr="009278EC">
              <w:rPr>
                <w:rFonts w:ascii="Arial" w:hAnsi="Arial" w:cs="Arial"/>
                <w:sz w:val="16"/>
                <w:szCs w:val="16"/>
              </w:rPr>
              <w:br/>
              <w:t xml:space="preserve"> La SDA como estrategia para el fortalecimiento del modelo de ocupación campesino,  en el marco del Convenio 1275 de 2013 apoyó con recursos económicos 2 iniciativas de  procesos organizados en zona de borde de la localidad de Usme, para este caso se hace seguimiento a la inversión y apoyo técnico de los procesos que se relacionan a continuación. </w:t>
            </w:r>
            <w:r w:rsidRPr="009278EC">
              <w:rPr>
                <w:rFonts w:ascii="Arial" w:hAnsi="Arial" w:cs="Arial"/>
                <w:sz w:val="16"/>
                <w:szCs w:val="16"/>
              </w:rPr>
              <w:br/>
              <w:t xml:space="preserve">La Corporación Agroambiental y cultural de Usme.   Esta corporación  está desarrollando  una propuesta  de  construcción de un vivero  y producción de material vegetal Nativo  y un   invernadero para producción de tomate de guiso orgánico, </w:t>
            </w:r>
            <w:r w:rsidRPr="009278EC">
              <w:rPr>
                <w:rFonts w:ascii="Arial" w:hAnsi="Arial" w:cs="Arial"/>
                <w:sz w:val="16"/>
                <w:szCs w:val="16"/>
              </w:rPr>
              <w:lastRenderedPageBreak/>
              <w:t>hortaliza y plantas medicinales, dentro de un proceso de reconversión productiva y aplicación de herramientas del paisaje. En esta organización participan 14 familias ubicadas en las veredas del Uval y la Requilina.</w:t>
            </w:r>
            <w:r w:rsidRPr="009278EC">
              <w:rPr>
                <w:rFonts w:ascii="Arial" w:hAnsi="Arial" w:cs="Arial"/>
                <w:sz w:val="16"/>
                <w:szCs w:val="16"/>
              </w:rPr>
              <w:br/>
              <w:t>La Corporación Campesina Mujer y Tierra. Quienes adelantan un proceso de Agroturismo y  están desarrollando un proyecto de cosecha de aguas mediante la adecuación de canales y tanques de almacenamiento para manejo de aguas lluvias. Además de Desarrollo de recorridos agro turísticos para visibilizar la propuesta de borde urbano rural e intercambio de productos agropecuarios mediante el desarrollo de Trueques. En este proceso participan 13 familias de la vereda la Requilina.</w:t>
            </w:r>
            <w:r w:rsidRPr="009278EC">
              <w:rPr>
                <w:rFonts w:ascii="Arial" w:hAnsi="Arial" w:cs="Arial"/>
                <w:sz w:val="16"/>
                <w:szCs w:val="16"/>
              </w:rPr>
              <w:br/>
              <w:t xml:space="preserve">-Otras acciones de Borde </w:t>
            </w:r>
            <w:r w:rsidRPr="009278EC">
              <w:rPr>
                <w:rFonts w:ascii="Arial" w:hAnsi="Arial" w:cs="Arial"/>
                <w:sz w:val="16"/>
                <w:szCs w:val="16"/>
              </w:rPr>
              <w:br/>
              <w:t>Se realizó la presentación del proyecto de consolidación del centro de gestión integral de la biodiversidad y los servicios ecosistémicos -  GIBSE para el  ecosistema subxerofítico en la Mesa Urbanística de cable aéreo y  participó en varias reuniones convocadas por la Secretaria de Desarrollo Económico y la Secretaria Distrital de Movilidad, para la articulación de este proyecto y la  formulación conjunta de  estrategias  de  desarrollo económico y apropiación del territorio para las comunidades de base.</w:t>
            </w:r>
            <w:r w:rsidRPr="009278EC">
              <w:rPr>
                <w:rFonts w:ascii="Arial" w:hAnsi="Arial" w:cs="Arial"/>
                <w:sz w:val="16"/>
                <w:szCs w:val="16"/>
              </w:rPr>
              <w:br/>
            </w:r>
            <w:r w:rsidRPr="009278EC">
              <w:rPr>
                <w:rFonts w:ascii="Arial" w:hAnsi="Arial" w:cs="Arial"/>
                <w:b/>
                <w:bCs/>
                <w:sz w:val="16"/>
                <w:szCs w:val="16"/>
              </w:rPr>
              <w:t xml:space="preserve">3er Trimestre: </w:t>
            </w:r>
            <w:r w:rsidRPr="009278EC">
              <w:rPr>
                <w:rFonts w:ascii="Arial" w:hAnsi="Arial" w:cs="Arial"/>
                <w:sz w:val="16"/>
                <w:szCs w:val="16"/>
              </w:rPr>
              <w:br/>
              <w:t xml:space="preserve">En la zona rural de borde en Ciudad Bolívar se ha participado en 10 reuniones (10 de Julio, 16 de Julio, 21 de Julio, 30 de Julio,  3 de Agosto, 5 de Agosto, 14 de Agosto, 21 de Agosto, 26 de Agosto  y 19 de Septiembre) para la validación del modelo de ocupación entre la localidad y la comunidad a fin de  validar los temas relacionados con ambiente, ecoturismo, recurso hídrico y productividad. Se realizó la conformación de un grupo para </w:t>
            </w:r>
            <w:r w:rsidRPr="009278EC">
              <w:rPr>
                <w:rFonts w:ascii="Arial" w:hAnsi="Arial" w:cs="Arial"/>
                <w:sz w:val="16"/>
                <w:szCs w:val="16"/>
              </w:rPr>
              <w:lastRenderedPageBreak/>
              <w:t xml:space="preserve">abordar el modelo de ocupación campesino, estructuración de un plan de acción para establecer las principales problemáticas y potencialidades de la zona de transición urbano - rural de la localidad; gestión institucional frente al proceso de ocupaciones ilegales, se  hizo la presentación de los avances en los modelos de manejo establecidos por las entidades para los bordes de la ciudad. </w:t>
            </w:r>
            <w:r w:rsidRPr="009278EC">
              <w:rPr>
                <w:rFonts w:ascii="Arial" w:hAnsi="Arial" w:cs="Arial"/>
                <w:sz w:val="16"/>
                <w:szCs w:val="16"/>
              </w:rPr>
              <w:br/>
              <w:t xml:space="preserve">En  la zona rural de Usme se ha participado en 3 reuniones (25 de julio, 4 y 11 de Agosto);  realizado  aportes en las jornadas de trabajo  realizadas por la comunidad, para actualizar la propuesta de borde sur de Usme, a fin de modificar el Decreto 252 POZ Usme. Los aportes se realizaron en jornadas de trabajo por cada polígono de expansión; para el  polígono 1 en especial las unidades de gestión 5, 7,9  se propone una zona de ocupación transicional  con modelos de ecobarrios o parque agropolitano. </w:t>
            </w:r>
            <w:r w:rsidRPr="009278EC">
              <w:rPr>
                <w:rFonts w:ascii="Arial" w:hAnsi="Arial" w:cs="Arial"/>
                <w:sz w:val="16"/>
                <w:szCs w:val="16"/>
              </w:rPr>
              <w:br/>
              <w:t>Para este trabajo se ha tenido en cuenta la propuesta de ordenamiento del territorio construida por la comunidad y la propuesta que presenta Metrovivienda y la Secretaria Distrital de Planeación. A la fecha Metrovivienda, Secretaria de Planeación y la Secretaria Distrital del Habitat están analizando el documento de Decreto y haciendo las consultas pertinentes a nivel jurídico. El próximo mes se  debatirá este documento y ponerlo a consideración de la comunidad y posteriormente hacer el proceso de aprobación y firma del Alcalde Mayor.</w:t>
            </w:r>
            <w:r w:rsidRPr="009278EC">
              <w:rPr>
                <w:rFonts w:ascii="Arial" w:hAnsi="Arial" w:cs="Arial"/>
                <w:sz w:val="16"/>
                <w:szCs w:val="16"/>
              </w:rPr>
              <w:br/>
              <w:t xml:space="preserve">Como proceso físico se han adelantado trabajos de vinculación e implementación de Herramientas de manejo del paisaje en 100 predios del área de borde urbano rural en Usme y Ciudad Bolívar. Igualmente se hace el seguimiento al apoyo dado por el Convenio 1275 de 2013 a 3 iniciativas comunitarias que ha fortalecido sus procesos comunitarios, todo ello  establecido como estrategia de </w:t>
            </w:r>
            <w:r w:rsidRPr="009278EC">
              <w:rPr>
                <w:rFonts w:ascii="Arial" w:hAnsi="Arial" w:cs="Arial"/>
                <w:sz w:val="16"/>
                <w:szCs w:val="16"/>
              </w:rPr>
              <w:lastRenderedPageBreak/>
              <w:t>fortalecimiento del modelo de ocupación campesino</w:t>
            </w:r>
            <w:r w:rsidRPr="009278EC">
              <w:rPr>
                <w:rFonts w:ascii="Arial" w:hAnsi="Arial" w:cs="Arial"/>
                <w:sz w:val="16"/>
                <w:szCs w:val="16"/>
              </w:rPr>
              <w:br/>
              <w:t>Se continúa apoyando el proceso de declaratoria vía Acuerdo del Concejo del Parque Ecológico Distrital de Montaña de Cerro seco, para la protección del ecosistema de xerofitia andina, Sin embargo esta propuesta quedo suspendida y  su declaración quedará sujeta a la voluntad política de la nueva administración.</w:t>
            </w:r>
            <w:r w:rsidRPr="009278EC">
              <w:rPr>
                <w:rFonts w:ascii="Arial" w:hAnsi="Arial" w:cs="Arial"/>
                <w:sz w:val="16"/>
                <w:szCs w:val="16"/>
              </w:rPr>
              <w:br/>
              <w:t>De manera paralela desde la SER se viene poyando a la Dirección legal Ambiental, para la fundamentación técnica de los procesos de control al tema minero, referente al cierre definitivo del frente de explotación la esmeralda y la fundamentación de la acción popular.</w:t>
            </w:r>
            <w:r w:rsidRPr="009278EC">
              <w:rPr>
                <w:rFonts w:ascii="Arial" w:hAnsi="Arial" w:cs="Arial"/>
                <w:sz w:val="16"/>
                <w:szCs w:val="16"/>
              </w:rPr>
              <w:br/>
              <w:t>Se continúa el proceso de concertación interinstitucional ente la SDA, el DADEP y el IDRD, desde el componente jurídico y admirativo para lograr una estrategia de administración conjunta del parque metropolitano de Arborizadora Alta y se apoyan las acciones desde el componente técnico para la gestión ene l territorio de la protección del parque y el control frente las amenazas de invasión.</w:t>
            </w:r>
            <w:r w:rsidRPr="009278EC">
              <w:rPr>
                <w:rFonts w:ascii="Arial" w:hAnsi="Arial" w:cs="Arial"/>
                <w:sz w:val="16"/>
                <w:szCs w:val="16"/>
              </w:rPr>
              <w:br/>
            </w:r>
            <w:r w:rsidRPr="009278EC">
              <w:rPr>
                <w:rFonts w:ascii="Arial" w:hAnsi="Arial" w:cs="Arial"/>
                <w:b/>
                <w:bCs/>
                <w:sz w:val="16"/>
                <w:szCs w:val="16"/>
              </w:rPr>
              <w:t xml:space="preserve">4to Trimestre: </w:t>
            </w:r>
            <w:r w:rsidRPr="009278EC">
              <w:rPr>
                <w:rFonts w:ascii="Arial" w:hAnsi="Arial" w:cs="Arial"/>
                <w:sz w:val="16"/>
                <w:szCs w:val="16"/>
              </w:rPr>
              <w:br/>
              <w:t>Dentro de las acciones realizadas en el trimestre de Octubre, Noviembre y Diciembre de 2015, en gestión, fortalecimiento  y seguimiento del borde sur de la ciudad  se identifican las siguientes.</w:t>
            </w:r>
            <w:r w:rsidRPr="009278EC">
              <w:rPr>
                <w:rFonts w:ascii="Arial" w:hAnsi="Arial" w:cs="Arial"/>
                <w:sz w:val="16"/>
                <w:szCs w:val="16"/>
              </w:rPr>
              <w:br/>
              <w:t xml:space="preserve"> Se participó en el marco de la mesa de concertación de Usme, en jornadas de trabajo entre instituciones y comunidad donde se generaron los insumos para la construcción y consolidación  de los  siguientes documentos.</w:t>
            </w:r>
            <w:r w:rsidRPr="009278EC">
              <w:rPr>
                <w:rFonts w:ascii="Arial" w:hAnsi="Arial" w:cs="Arial"/>
                <w:sz w:val="16"/>
                <w:szCs w:val="16"/>
              </w:rPr>
              <w:br/>
              <w:t>1. Documento de modelos de ocupación de bordes. Este documento  fue consolidado por la SDHT.</w:t>
            </w:r>
            <w:r w:rsidRPr="009278EC">
              <w:rPr>
                <w:rFonts w:ascii="Arial" w:hAnsi="Arial" w:cs="Arial"/>
                <w:sz w:val="16"/>
                <w:szCs w:val="16"/>
              </w:rPr>
              <w:br/>
              <w:t xml:space="preserve">2. Documento preliminar de Agenda pública de territorios de </w:t>
            </w:r>
            <w:r w:rsidRPr="009278EC">
              <w:rPr>
                <w:rFonts w:ascii="Arial" w:hAnsi="Arial" w:cs="Arial"/>
                <w:sz w:val="16"/>
                <w:szCs w:val="16"/>
              </w:rPr>
              <w:lastRenderedPageBreak/>
              <w:t>bordes, Consolidado por la SDHT.</w:t>
            </w:r>
            <w:r w:rsidRPr="009278EC">
              <w:rPr>
                <w:rFonts w:ascii="Arial" w:hAnsi="Arial" w:cs="Arial"/>
                <w:sz w:val="16"/>
                <w:szCs w:val="16"/>
              </w:rPr>
              <w:br/>
              <w:t>3. Documento del plan de vida y desarrollo de la figura de gestión socio ambiental del territorio. Consolidado por la SDDE</w:t>
            </w:r>
            <w:r w:rsidRPr="009278EC">
              <w:rPr>
                <w:rFonts w:ascii="Arial" w:hAnsi="Arial" w:cs="Arial"/>
                <w:sz w:val="16"/>
                <w:szCs w:val="16"/>
              </w:rPr>
              <w:br/>
              <w:t xml:space="preserve">POZ USME: Se consolidó a través de Metrovivienda, el documento técnico de soporte para la modificación del decreto 252 de 2007, con su respectiva cartografía, y  a partir de este documento Metrovivienda realizará el estudio de cargas y beneficios para el territorio  el cual permitirá evaluar la pertinencia de la propuesta.  El día miércoles 16 de diciembre de 2015  en la vereda La Requilina se socializará el DTS del POZ  a la comunidad. </w:t>
            </w:r>
            <w:r w:rsidRPr="009278EC">
              <w:rPr>
                <w:rFonts w:ascii="Arial" w:hAnsi="Arial" w:cs="Arial"/>
                <w:sz w:val="16"/>
                <w:szCs w:val="16"/>
              </w:rPr>
              <w:br/>
              <w:t>Implementación de herramientas del paisaje. (Asoprosabanas): Con el consorcio Asoprosabanas se realizó el  proceso  de  implementación de herramientas del Paisaje, en 100 predios de zona de borde los cuales fueron priorizados por el IAVH, de estos 100  predios,  60 se intervinieron  en la localidad de Usme y 40 en la localidad de ciudad Bolívar. En el desarrollo de estas actividades se hizo seguimiento y supervisión de los trabajos realizados, mediante el desarrollo de recorridos donde se verificó  con los propietarios de los predios los trabajos realizados a satisfacción teniendo en cuenta los lineamientos de la SDA.</w:t>
            </w:r>
            <w:r w:rsidRPr="009278EC">
              <w:rPr>
                <w:rFonts w:ascii="Arial" w:hAnsi="Arial" w:cs="Arial"/>
                <w:sz w:val="16"/>
                <w:szCs w:val="16"/>
              </w:rPr>
              <w:br/>
              <w:t>Se  Realizaron junto con el Consorcio Asoprosabanas  2 reuniones de presentación de resultados, donde se evidencio e informo las cantidades de  áreas intervenidas  en metros lineales de  cercas vivas, cerramientos de bosques, protección de cuerpos de agua, sistemas silvopastoriles y recuperación de fragmentos naturales.</w:t>
            </w:r>
          </w:p>
        </w:tc>
        <w:tc>
          <w:tcPr>
            <w:tcW w:w="170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 xml:space="preserve">Ocupación Armónica y Equilibrada del Territorio </w:t>
            </w:r>
          </w:p>
        </w:tc>
        <w:tc>
          <w:tcPr>
            <w:tcW w:w="155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Cooperación y Coordinación Interinstitucional</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615/15</w:t>
            </w:r>
            <w:r w:rsidRPr="009278EC">
              <w:rPr>
                <w:rFonts w:ascii="Arial" w:hAnsi="Arial" w:cs="Arial"/>
                <w:sz w:val="16"/>
                <w:szCs w:val="16"/>
              </w:rPr>
              <w:br/>
              <w:t>2. 1174/15</w:t>
            </w:r>
            <w:r w:rsidRPr="009278EC">
              <w:rPr>
                <w:rFonts w:ascii="Arial" w:hAnsi="Arial" w:cs="Arial"/>
                <w:sz w:val="16"/>
                <w:szCs w:val="16"/>
              </w:rPr>
              <w:br/>
              <w:t>3. 886/15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Ésta actividad guarda coherencia con el objetivo "Ocupación Armónica y Equilibrada del Territorio" dado que los lineamientos buscan la visibilización de los procesos rurales que se pueden perder sino se proteje el Borde y de la riqueza del teritorio, así como promover o resaltar opciones de vida campesina que buscan la protección del paisaje, los recursos y la cultura allí asentada.</w:t>
            </w:r>
            <w:r w:rsidRPr="009278EC">
              <w:rPr>
                <w:rFonts w:ascii="Arial" w:hAnsi="Arial" w:cs="Arial"/>
                <w:sz w:val="16"/>
                <w:szCs w:val="16"/>
              </w:rPr>
              <w:br/>
            </w:r>
            <w:r w:rsidRPr="009278EC">
              <w:rPr>
                <w:rFonts w:ascii="Arial" w:hAnsi="Arial" w:cs="Arial"/>
                <w:sz w:val="16"/>
                <w:szCs w:val="16"/>
              </w:rPr>
              <w:br/>
              <w:t xml:space="preserve">Igualmente guarda coherencia y concordancia con la estrategia "Cooperación y Coordinación Interinstitucional" debido a que la actividad se desarrolló de manera conjunta con otras entidadess distritales como los sectores de planeación, hábitat y desarrollo económico cuyo fin fue el desarrollar un documento conjunto con aportes de cada sector frente al modelo de ocupación campesina en borde </w:t>
            </w:r>
            <w:r w:rsidRPr="009278EC">
              <w:rPr>
                <w:rFonts w:ascii="Arial" w:hAnsi="Arial" w:cs="Arial"/>
                <w:sz w:val="16"/>
                <w:szCs w:val="16"/>
              </w:rPr>
              <w:lastRenderedPageBreak/>
              <w:t>urbano rural del Sur, desde este punto de vista la entidad aportó los lineamientos ambientales para el modelo.</w:t>
            </w:r>
          </w:p>
        </w:tc>
      </w:tr>
      <w:tr w:rsidR="009278EC" w:rsidRPr="009278EC" w:rsidTr="009278EC">
        <w:trPr>
          <w:trHeight w:val="1002"/>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500 familias campesinas en proceso de reconversión de sistemas productivos, afines a la conservación de la biodiversidad, los suelos y el agua</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25.Adelantar acciones de planificación de paisaje y caracterización de sistemas productivos y formas de apropiación del territorio, como base para vincular familias campesinas a procesos de Ordenamiento Agroambiental de la Finca</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Planificación  </w:t>
            </w:r>
            <w:r w:rsidRPr="009278EC">
              <w:rPr>
                <w:rFonts w:ascii="Arial" w:hAnsi="Arial" w:cs="Arial"/>
                <w:sz w:val="16"/>
                <w:szCs w:val="16"/>
              </w:rPr>
              <w:br/>
            </w:r>
            <w:r w:rsidRPr="009278EC">
              <w:rPr>
                <w:rFonts w:ascii="Arial" w:hAnsi="Arial" w:cs="Arial"/>
                <w:sz w:val="16"/>
                <w:szCs w:val="16"/>
              </w:rPr>
              <w:br/>
              <w:t xml:space="preserve">1. El operador Consorcio Asoprosabanas Bogotá CPS 1151 de 2014  ha concertado herramientas de manejo del paisaje en 96 nuevos predios correspondientes a los productos entregados por el Convenio 014-12, Ajustando los Diseños de Herramientas de Manejo del Paisaje propuestos para proceder a su implementación. </w:t>
            </w:r>
            <w:r w:rsidRPr="009278EC">
              <w:rPr>
                <w:rFonts w:ascii="Arial" w:hAnsi="Arial" w:cs="Arial"/>
                <w:sz w:val="16"/>
                <w:szCs w:val="16"/>
              </w:rPr>
              <w:br/>
            </w:r>
            <w:r w:rsidRPr="009278EC">
              <w:rPr>
                <w:rFonts w:ascii="Arial" w:hAnsi="Arial" w:cs="Arial"/>
                <w:sz w:val="16"/>
                <w:szCs w:val="16"/>
              </w:rPr>
              <w:br/>
              <w:t xml:space="preserve">2. Con la entrega de los productos finales del Diseño de Herramientas de Manejo del Paisaje para cuatro ventanas con el Convenio 1275 de 2013  se proyectaron estudios previos para la intervención de 80 predios a través del proceso licitatorio 049 de 2015, mediante contrato 1396 de 2015 se hará la planificación de 80 nuevos predios. </w:t>
            </w:r>
          </w:p>
        </w:tc>
        <w:tc>
          <w:tcPr>
            <w:tcW w:w="170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Productividad y Competitividad Sostenibles </w:t>
            </w:r>
          </w:p>
        </w:tc>
        <w:tc>
          <w:tcPr>
            <w:tcW w:w="1559"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1151/2014</w:t>
            </w:r>
            <w:r w:rsidRPr="009278EC">
              <w:rPr>
                <w:rFonts w:ascii="Arial" w:hAnsi="Arial" w:cs="Arial"/>
                <w:sz w:val="16"/>
                <w:szCs w:val="16"/>
              </w:rPr>
              <w:br/>
              <w:t>2. 90/15</w:t>
            </w:r>
            <w:r w:rsidRPr="009278EC">
              <w:rPr>
                <w:rFonts w:ascii="Arial" w:hAnsi="Arial" w:cs="Arial"/>
                <w:sz w:val="16"/>
                <w:szCs w:val="16"/>
              </w:rPr>
              <w:br/>
              <w:t>3. 308/15</w:t>
            </w:r>
            <w:r w:rsidRPr="009278EC">
              <w:rPr>
                <w:rFonts w:ascii="Arial" w:hAnsi="Arial" w:cs="Arial"/>
                <w:sz w:val="16"/>
                <w:szCs w:val="16"/>
              </w:rPr>
              <w:br/>
              <w:t>4. 441/15</w:t>
            </w:r>
            <w:r w:rsidRPr="009278EC">
              <w:rPr>
                <w:rFonts w:ascii="Arial" w:hAnsi="Arial" w:cs="Arial"/>
                <w:sz w:val="16"/>
                <w:szCs w:val="16"/>
              </w:rPr>
              <w:br/>
              <w:t>5. 822 /15</w:t>
            </w:r>
            <w:r w:rsidRPr="009278EC">
              <w:rPr>
                <w:rFonts w:ascii="Arial" w:hAnsi="Arial" w:cs="Arial"/>
                <w:sz w:val="16"/>
                <w:szCs w:val="16"/>
              </w:rPr>
              <w:br/>
              <w:t>6. 897/15</w:t>
            </w:r>
            <w:r w:rsidRPr="009278EC">
              <w:rPr>
                <w:rFonts w:ascii="Arial" w:hAnsi="Arial" w:cs="Arial"/>
                <w:sz w:val="16"/>
                <w:szCs w:val="16"/>
              </w:rPr>
              <w:br/>
              <w:t>7. 1124/15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es coherente con el objetivo "Productividad y Competitividad Sostenibles" puesto el trabajo implica la planificación participativa del paisaje y de los sistemas produtivos mediante el proceso de ordenamiento agroambiental de fincas lo que conlleva a orientar el aprovechamiento y transformación sostenible del territorio desde la perspectiva de cada predio y de los recursos naturales allí ubicados y de paso generar conciencia a los productores entre oferta natural de recursos de la finca y la posibilidad de su uso a nivel local y regional para su desarollo y sotenibilidad en el tiempo. </w:t>
            </w:r>
            <w:r w:rsidRPr="009278EC">
              <w:rPr>
                <w:rFonts w:ascii="Arial" w:hAnsi="Arial" w:cs="Arial"/>
                <w:sz w:val="16"/>
                <w:szCs w:val="16"/>
              </w:rPr>
              <w:br/>
            </w:r>
            <w:r w:rsidRPr="009278EC">
              <w:rPr>
                <w:rFonts w:ascii="Arial" w:hAnsi="Arial" w:cs="Arial"/>
                <w:sz w:val="16"/>
                <w:szCs w:val="16"/>
              </w:rPr>
              <w:br/>
              <w:t>También guarda coherencia y concordancia con la estrategia "Manejo Físico y Ecourbanismo" porque la actividad se relaciona con el ordenamiento agroambiental de fincas cuyo fin es la protección y restauración de ecosistemas estratégicos encontrados en las fincas, darle el mejor uso al suelo acorde a su oferta, propender por minimizar los impactos negativos que producen actividades agropecuarias y forma de vida campesina y por último inlcuir a los propieatrios en el desarrollo de dicha actividad.</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26. Implementar acciones de ordenamiento predial, restauración y reconversión de sistemas productivos afines a la conservación de los recursos naturales en los predios priorizados  para 2013 y los gestionados en 2012, fortaleciendo redes sociales y mercados</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A Diciembre de 2015,  la entidad ha vinculado 438 familias, (187 familias en la localidad de Usme y 185 familias en la zona rural de Ciudad Bolívar y 66 en Sumapaz) las cuales cuentan con registro, plan finca y con análisis de los Indicadores de sostenibilidad Ambiental (verificación del estado y avance de las familias vinculadas por la SDA al proceso). Con las acciones de capacitación, asesoría y/o validación de acciones de reconversión de sistemas productivos, y articulando con las herramientas de manejo del paisaje aplicables a aspectos productivos, se presenta los siguientes avances:</w:t>
            </w:r>
            <w:r w:rsidRPr="009278EC">
              <w:rPr>
                <w:rFonts w:ascii="Arial" w:hAnsi="Arial" w:cs="Arial"/>
                <w:sz w:val="16"/>
                <w:szCs w:val="16"/>
              </w:rPr>
              <w:br/>
              <w:t>En las familias de la cuenca del Tunjuelo (187 familias en la localidad de Usme y 185 familias en la zona rural de Ciudad Bolívar), se destaca:</w:t>
            </w:r>
            <w:r w:rsidRPr="009278EC">
              <w:rPr>
                <w:rFonts w:ascii="Arial" w:hAnsi="Arial" w:cs="Arial"/>
                <w:sz w:val="16"/>
                <w:szCs w:val="16"/>
              </w:rPr>
              <w:br/>
              <w:t xml:space="preserve">• Se protegen 14.193,47 m² vinculados a espacios del agua, con 12.516 metros lineales en aislamiento de bosque,  19.642 metros lineales en aislamiento Rondas Hídricas (incluyendo nacederos y demás cuerpos de agua), </w:t>
            </w:r>
            <w:r w:rsidRPr="009278EC">
              <w:rPr>
                <w:rFonts w:ascii="Arial" w:hAnsi="Arial" w:cs="Arial"/>
                <w:sz w:val="16"/>
                <w:szCs w:val="16"/>
              </w:rPr>
              <w:br/>
              <w:t xml:space="preserve">• 99 familias capacitadas en el uso del árbol y buenas prácticas productivas, </w:t>
            </w:r>
            <w:r w:rsidRPr="009278EC">
              <w:rPr>
                <w:rFonts w:ascii="Arial" w:hAnsi="Arial" w:cs="Arial"/>
                <w:sz w:val="16"/>
                <w:szCs w:val="16"/>
              </w:rPr>
              <w:br/>
              <w:t xml:space="preserve">• 34.942 metros lineales de cerca vivas, </w:t>
            </w:r>
            <w:r w:rsidRPr="009278EC">
              <w:rPr>
                <w:rFonts w:ascii="Arial" w:hAnsi="Arial" w:cs="Arial"/>
                <w:sz w:val="16"/>
                <w:szCs w:val="16"/>
              </w:rPr>
              <w:br/>
              <w:t>• 102 huertas caseras fortalecidas,</w:t>
            </w:r>
            <w:r w:rsidRPr="009278EC">
              <w:rPr>
                <w:rFonts w:ascii="Arial" w:hAnsi="Arial" w:cs="Arial"/>
                <w:sz w:val="16"/>
                <w:szCs w:val="16"/>
              </w:rPr>
              <w:br/>
              <w:t>• 116 familias apoyadas con prácticas de uso eficiente del recurso hídrico,</w:t>
            </w:r>
            <w:r w:rsidRPr="009278EC">
              <w:rPr>
                <w:rFonts w:ascii="Arial" w:hAnsi="Arial" w:cs="Arial"/>
                <w:sz w:val="16"/>
                <w:szCs w:val="16"/>
              </w:rPr>
              <w:br/>
              <w:t xml:space="preserve">• 22  invernaderos establecidos o mejorados para la seguridad alimentaria y con inclusión de especies promisorias y </w:t>
            </w:r>
            <w:r w:rsidRPr="009278EC">
              <w:rPr>
                <w:rFonts w:ascii="Arial" w:hAnsi="Arial" w:cs="Arial"/>
                <w:sz w:val="16"/>
                <w:szCs w:val="16"/>
              </w:rPr>
              <w:br/>
              <w:t>• 59 familias con mejoramiento de instalaciones pecuarias para minimización de impactos ambientales y con acciones de Buenas Prácticas Productivas.</w:t>
            </w:r>
            <w:r w:rsidRPr="009278EC">
              <w:rPr>
                <w:rFonts w:ascii="Arial" w:hAnsi="Arial" w:cs="Arial"/>
                <w:sz w:val="16"/>
                <w:szCs w:val="16"/>
              </w:rPr>
              <w:br/>
              <w:t>En la cuenca del Rio Blanco en Sumapaz existen las 66 familias vinculadas, con el desarrollo de las siguientes acciones:</w:t>
            </w:r>
            <w:r w:rsidRPr="009278EC">
              <w:rPr>
                <w:rFonts w:ascii="Arial" w:hAnsi="Arial" w:cs="Arial"/>
                <w:sz w:val="16"/>
                <w:szCs w:val="16"/>
              </w:rPr>
              <w:br/>
            </w:r>
            <w:r w:rsidRPr="009278EC">
              <w:rPr>
                <w:rFonts w:ascii="Arial" w:hAnsi="Arial" w:cs="Arial"/>
                <w:sz w:val="16"/>
                <w:szCs w:val="16"/>
              </w:rPr>
              <w:lastRenderedPageBreak/>
              <w:t>• Protección del recurso hídrico sobre nacederos y ronda hídrica (38.110,8 metros cuadrados)  en 39 familias.</w:t>
            </w:r>
            <w:r w:rsidRPr="009278EC">
              <w:rPr>
                <w:rFonts w:ascii="Arial" w:hAnsi="Arial" w:cs="Arial"/>
                <w:sz w:val="16"/>
                <w:szCs w:val="16"/>
              </w:rPr>
              <w:br/>
              <w:t>• Protección con cerca (857 metros lineales de cerca).</w:t>
            </w:r>
            <w:r w:rsidRPr="009278EC">
              <w:rPr>
                <w:rFonts w:ascii="Arial" w:hAnsi="Arial" w:cs="Arial"/>
                <w:sz w:val="16"/>
                <w:szCs w:val="16"/>
              </w:rPr>
              <w:br/>
              <w:t xml:space="preserve">•  Instalación de sistema silvopastoril en 64.348 m² </w:t>
            </w:r>
            <w:r w:rsidRPr="009278EC">
              <w:rPr>
                <w:rFonts w:ascii="Arial" w:hAnsi="Arial" w:cs="Arial"/>
                <w:sz w:val="16"/>
                <w:szCs w:val="16"/>
              </w:rPr>
              <w:br/>
              <w:t xml:space="preserve">• En acciones de buenas prácticas productivas  con énfasis en la protección del recurso hídrico con  la entrega de bebederos a 39 familias de bebederos  </w:t>
            </w:r>
            <w:r w:rsidRPr="009278EC">
              <w:rPr>
                <w:rFonts w:ascii="Arial" w:hAnsi="Arial" w:cs="Arial"/>
                <w:sz w:val="16"/>
                <w:szCs w:val="16"/>
              </w:rPr>
              <w:br/>
              <w:t>• Aclarado en 2.566 metros de zanjas de drenaje en predios de (8) ocho familias.</w:t>
            </w:r>
            <w:r w:rsidRPr="009278EC">
              <w:rPr>
                <w:rFonts w:ascii="Arial" w:hAnsi="Arial" w:cs="Arial"/>
                <w:sz w:val="16"/>
                <w:szCs w:val="16"/>
              </w:rPr>
              <w:br/>
              <w:t>• Seguridad alimentaria y autoabastecimiento se reporta la de entrega de tubérculos ancestrales y legumbres a 26 familias para reproducir el material, igualmente se avanza en el apoyo  con mano de obra para la adecuación de infraestructura de la huerta casera y entrega de abonos, apoyo en la construcción de 16 invernaderos y dos familias apoyadas en mejoramiento de instalaciones pecuarias.</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1151/2014</w:t>
            </w:r>
            <w:r w:rsidRPr="009278EC">
              <w:rPr>
                <w:rFonts w:ascii="Arial" w:hAnsi="Arial" w:cs="Arial"/>
                <w:sz w:val="16"/>
                <w:szCs w:val="16"/>
              </w:rPr>
              <w:br/>
              <w:t>2. 90/15</w:t>
            </w:r>
            <w:r w:rsidRPr="009278EC">
              <w:rPr>
                <w:rFonts w:ascii="Arial" w:hAnsi="Arial" w:cs="Arial"/>
                <w:sz w:val="16"/>
                <w:szCs w:val="16"/>
              </w:rPr>
              <w:br/>
              <w:t>3. 308/15</w:t>
            </w:r>
            <w:r w:rsidRPr="009278EC">
              <w:rPr>
                <w:rFonts w:ascii="Arial" w:hAnsi="Arial" w:cs="Arial"/>
                <w:sz w:val="16"/>
                <w:szCs w:val="16"/>
              </w:rPr>
              <w:br/>
              <w:t>4. 441/15</w:t>
            </w:r>
            <w:r w:rsidRPr="009278EC">
              <w:rPr>
                <w:rFonts w:ascii="Arial" w:hAnsi="Arial" w:cs="Arial"/>
                <w:sz w:val="16"/>
                <w:szCs w:val="16"/>
              </w:rPr>
              <w:br/>
              <w:t>5. 822 /15</w:t>
            </w:r>
            <w:r w:rsidRPr="009278EC">
              <w:rPr>
                <w:rFonts w:ascii="Arial" w:hAnsi="Arial" w:cs="Arial"/>
                <w:sz w:val="16"/>
                <w:szCs w:val="16"/>
              </w:rPr>
              <w:br/>
              <w:t>6. 897/15</w:t>
            </w:r>
            <w:r w:rsidRPr="009278EC">
              <w:rPr>
                <w:rFonts w:ascii="Arial" w:hAnsi="Arial" w:cs="Arial"/>
                <w:sz w:val="16"/>
                <w:szCs w:val="16"/>
              </w:rPr>
              <w:br/>
              <w:t>7. 1124/15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es coherente con el objetivo "Productividad y Competitividad Sostenibles" puesto que para cumplir con este objeto se hace através del ordenamiento agroambiental de fincas lo que permite generar las herramientas para la aplicación de los lineamientos de orientación para el aprovechamiento y transformación sostenible del territorio desde la perspectiva de predio y la protección del recurso hídrico y la biodiversidad para su uso sotenible. </w:t>
            </w:r>
            <w:r w:rsidRPr="009278EC">
              <w:rPr>
                <w:rFonts w:ascii="Arial" w:hAnsi="Arial" w:cs="Arial"/>
                <w:sz w:val="16"/>
                <w:szCs w:val="16"/>
              </w:rPr>
              <w:br/>
            </w:r>
            <w:r w:rsidRPr="009278EC">
              <w:rPr>
                <w:rFonts w:ascii="Arial" w:hAnsi="Arial" w:cs="Arial"/>
                <w:sz w:val="16"/>
                <w:szCs w:val="16"/>
              </w:rPr>
              <w:br/>
              <w:t>También guarda coherencia y concordancia con la estrategia "Manejo Físico y Ecourbanismo" porque la actividad se relaciona con el ordenamiento agroambiental de fincas cuyo fin es la protección y restauración de ecosistemas estratégicos encontrados en las fincas, darle el mejor uso al suelo acorde a su oferta, propender por minimizar los impactos negativos que producen actividades agropecuarias y forma de vida campesina y por último inlcuir a los propietarios en el desarrollo de dicha actividad.</w:t>
            </w:r>
          </w:p>
        </w:tc>
      </w:tr>
      <w:tr w:rsidR="009278EC" w:rsidRPr="009278EC" w:rsidTr="009278EC">
        <w:trPr>
          <w:trHeight w:val="1185"/>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Recuperar ecológicamente áreas estratégicas para el abastecimiento de 12 acueductos veredales con participación comunitaria</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27. Adelantar acciones integrales orientadas a la restauración, recuperación, rehabilitación o conservación en las zonas abastecedoras de acueductos veredales (incluye el mantenimiento de coberturas vegetales establecidas con anterioridad y la gestión social e institucional)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A 30 de diciembre de 2015, la entidad realizó acercamientos con  veintiun (21) acueductos veredales distribuidos por localidades de la siguiente manera:  nueve (9) en Usme: El Destino, Corinto Cerroredondo, Aguas Claras Olarte, Agualinda Chiguaza, Aguas Doradas, Acuamarg, Arrayanes Argentina, Asocristalina Curubital; nueve (9) acueductos veredales en Ciudad Bolívar: Aacupasa, Asocerritoblanco, Asoporquera, Acuavida, Acuepiedraparada, Pasquilla Centro, El Saltonal, Aguas Calientes, Asoquiba y tres (3) en Sumapaz: Asouan, Asoperabeca y Asoagua y Cañizo; para establecer acuerdos de implementación de actividades de recuperación ecológica participativa.</w:t>
            </w:r>
            <w:r w:rsidRPr="009278EC">
              <w:rPr>
                <w:rFonts w:ascii="Arial" w:hAnsi="Arial" w:cs="Arial"/>
                <w:sz w:val="16"/>
                <w:szCs w:val="16"/>
              </w:rPr>
              <w:br/>
            </w:r>
            <w:r w:rsidRPr="009278EC">
              <w:rPr>
                <w:rFonts w:ascii="Arial" w:hAnsi="Arial" w:cs="Arial"/>
                <w:sz w:val="16"/>
                <w:szCs w:val="16"/>
              </w:rPr>
              <w:br/>
              <w:t xml:space="preserve">2. De los cuales se tiene adelantado la sensibilización, formación </w:t>
            </w:r>
            <w:r w:rsidRPr="009278EC">
              <w:rPr>
                <w:rFonts w:ascii="Arial" w:hAnsi="Arial" w:cs="Arial"/>
                <w:sz w:val="16"/>
                <w:szCs w:val="16"/>
              </w:rPr>
              <w:lastRenderedPageBreak/>
              <w:t xml:space="preserve">para la conservación y la concertación de acuerdos de intervención con la comunidad  en 115,15 hectáreas en zonas abastecedora, así: </w:t>
            </w:r>
            <w:r w:rsidRPr="009278EC">
              <w:rPr>
                <w:rFonts w:ascii="Arial" w:hAnsi="Arial" w:cs="Arial"/>
                <w:sz w:val="16"/>
                <w:szCs w:val="16"/>
              </w:rPr>
              <w:br/>
              <w:t>Localidad de Ciudad Bolívar: acueducto Asoporquera predios La Rivera (11 ha) y Nacimiento de la Porquera (1,5 ha), Buenos Aires (20 ha),  acueducto Asopiedraparada predio El Recuerdo (13 ha), acueducto Pasquilla Centro predio La Palma (3.3 ha),  y acueducto El Saltonal predio El Salero (17.2 ha). Para un total de 66 ha</w:t>
            </w:r>
            <w:r w:rsidRPr="009278EC">
              <w:rPr>
                <w:rFonts w:ascii="Arial" w:hAnsi="Arial" w:cs="Arial"/>
                <w:sz w:val="16"/>
                <w:szCs w:val="16"/>
              </w:rPr>
              <w:br/>
              <w:t>Localidad de Usme: acueducto Aguas Doradas predios Uval 01 y Uval La Toscana (11 Ha), acueducto Agualinda Chiguaza en el predio San Luis (8 Ha), acueducto Aguas Claras Olarte en Centro de Instrucción y Entrenamiento Militar (0,7), acueductos El Destino y Corinto Cerroredondo predio Montebello (24.4 Ha), acueducto Acuamarg en los predios El Horizonte (0.18 Ha), La Palma (0.72 Ha), Delirios (0.2 Ha), Manantial (0.03 Ha), Acueducto Arrayanes Argentina (1,5 ha) y  Monte bello Quebrada la leona (1,7 ha). Para un total de 48,43 ha</w:t>
            </w:r>
            <w:r w:rsidRPr="009278EC">
              <w:rPr>
                <w:rFonts w:ascii="Arial" w:hAnsi="Arial" w:cs="Arial"/>
                <w:sz w:val="16"/>
                <w:szCs w:val="16"/>
              </w:rPr>
              <w:br/>
              <w:t>Localidad Sumapaz: acueducto Asouan predio La Pradera (0.72 Ha).  TOTAL: 115,15 Ha.</w:t>
            </w:r>
            <w:r w:rsidRPr="009278EC">
              <w:rPr>
                <w:rFonts w:ascii="Arial" w:hAnsi="Arial" w:cs="Arial"/>
                <w:sz w:val="16"/>
                <w:szCs w:val="16"/>
              </w:rPr>
              <w:br/>
            </w:r>
            <w:r w:rsidRPr="009278EC">
              <w:rPr>
                <w:rFonts w:ascii="Arial" w:hAnsi="Arial" w:cs="Arial"/>
                <w:sz w:val="16"/>
                <w:szCs w:val="16"/>
              </w:rPr>
              <w:br/>
              <w:t xml:space="preserve">3. Firma de actas para intervención en  57.32 Ha con: </w:t>
            </w:r>
            <w:r w:rsidRPr="009278EC">
              <w:rPr>
                <w:rFonts w:ascii="Arial" w:hAnsi="Arial" w:cs="Arial"/>
                <w:sz w:val="16"/>
                <w:szCs w:val="16"/>
              </w:rPr>
              <w:br/>
              <w:t>Localidad de Usme</w:t>
            </w:r>
            <w:r w:rsidRPr="009278EC">
              <w:rPr>
                <w:rFonts w:ascii="Arial" w:hAnsi="Arial" w:cs="Arial"/>
                <w:sz w:val="16"/>
                <w:szCs w:val="16"/>
              </w:rPr>
              <w:br/>
              <w:t xml:space="preserve">* Acueducto Aguas Doradas, en los predios Uval 01 y Uval La Toscana 11 Ha; </w:t>
            </w:r>
            <w:r w:rsidRPr="009278EC">
              <w:rPr>
                <w:rFonts w:ascii="Arial" w:hAnsi="Arial" w:cs="Arial"/>
                <w:sz w:val="16"/>
                <w:szCs w:val="16"/>
              </w:rPr>
              <w:br/>
              <w:t xml:space="preserve">* Acueducto Agualinda Chiguaza en el predio San Luis 8 Ha; </w:t>
            </w:r>
            <w:r w:rsidRPr="009278EC">
              <w:rPr>
                <w:rFonts w:ascii="Arial" w:hAnsi="Arial" w:cs="Arial"/>
                <w:sz w:val="16"/>
                <w:szCs w:val="16"/>
              </w:rPr>
              <w:br/>
              <w:t>* Acueducto Acuamarg predio Horizonte y La Palma 0.9 Ha,</w:t>
            </w:r>
            <w:r w:rsidRPr="009278EC">
              <w:rPr>
                <w:rFonts w:ascii="Arial" w:hAnsi="Arial" w:cs="Arial"/>
                <w:sz w:val="16"/>
                <w:szCs w:val="16"/>
              </w:rPr>
              <w:br/>
              <w:t xml:space="preserve">* Acueducto Arrayanes Argentina predio Jamaica 1.5 Ha, </w:t>
            </w:r>
            <w:r w:rsidRPr="009278EC">
              <w:rPr>
                <w:rFonts w:ascii="Arial" w:hAnsi="Arial" w:cs="Arial"/>
                <w:sz w:val="16"/>
                <w:szCs w:val="16"/>
              </w:rPr>
              <w:br/>
              <w:t>Localidad de Ciudad Bolívar</w:t>
            </w:r>
            <w:r w:rsidRPr="009278EC">
              <w:rPr>
                <w:rFonts w:ascii="Arial" w:hAnsi="Arial" w:cs="Arial"/>
                <w:sz w:val="16"/>
                <w:szCs w:val="16"/>
              </w:rPr>
              <w:br/>
              <w:t>* Acueducto Acuepiedraparada, en el predio El Recuerdo 13 ha;</w:t>
            </w:r>
            <w:r w:rsidRPr="009278EC">
              <w:rPr>
                <w:rFonts w:ascii="Arial" w:hAnsi="Arial" w:cs="Arial"/>
                <w:sz w:val="16"/>
                <w:szCs w:val="16"/>
              </w:rPr>
              <w:br/>
            </w:r>
            <w:r w:rsidRPr="009278EC">
              <w:rPr>
                <w:rFonts w:ascii="Arial" w:hAnsi="Arial" w:cs="Arial"/>
                <w:sz w:val="16"/>
                <w:szCs w:val="16"/>
              </w:rPr>
              <w:lastRenderedPageBreak/>
              <w:t>* Acueducto Asoporquera en el predio Buenos Aires y la Rivera 1.7 Ha;</w:t>
            </w:r>
            <w:r w:rsidRPr="009278EC">
              <w:rPr>
                <w:rFonts w:ascii="Arial" w:hAnsi="Arial" w:cs="Arial"/>
                <w:sz w:val="16"/>
                <w:szCs w:val="16"/>
              </w:rPr>
              <w:br/>
              <w:t xml:space="preserve">* Acueducto Pasquilla Centro predio La Palma 3.3 Ha, </w:t>
            </w:r>
            <w:r w:rsidRPr="009278EC">
              <w:rPr>
                <w:rFonts w:ascii="Arial" w:hAnsi="Arial" w:cs="Arial"/>
                <w:sz w:val="16"/>
                <w:szCs w:val="16"/>
              </w:rPr>
              <w:br/>
              <w:t>* Acueducto El Saltonal predio El Salero 17.2 Ha.</w:t>
            </w:r>
            <w:r w:rsidRPr="009278EC">
              <w:rPr>
                <w:rFonts w:ascii="Arial" w:hAnsi="Arial" w:cs="Arial"/>
                <w:sz w:val="16"/>
                <w:szCs w:val="16"/>
              </w:rPr>
              <w:br/>
              <w:t>Localidad de Sumapaz</w:t>
            </w:r>
            <w:r w:rsidRPr="009278EC">
              <w:rPr>
                <w:rFonts w:ascii="Arial" w:hAnsi="Arial" w:cs="Arial"/>
                <w:sz w:val="16"/>
                <w:szCs w:val="16"/>
              </w:rPr>
              <w:br/>
              <w:t>* Acueducto Asouan en el predio La Pradera 0,72 Ha</w:t>
            </w:r>
            <w:r w:rsidRPr="009278EC">
              <w:rPr>
                <w:rFonts w:ascii="Arial" w:hAnsi="Arial" w:cs="Arial"/>
                <w:sz w:val="16"/>
                <w:szCs w:val="16"/>
              </w:rPr>
              <w:br/>
            </w:r>
            <w:r w:rsidRPr="009278EC">
              <w:rPr>
                <w:rFonts w:ascii="Arial" w:hAnsi="Arial" w:cs="Arial"/>
                <w:sz w:val="16"/>
                <w:szCs w:val="16"/>
              </w:rPr>
              <w:br/>
              <w:t>4. Restauración ecológica participativa en 42 hectáreas en zonas abastecedoras de 11 acueductos veredales, consolidados de la siguiente manera:</w:t>
            </w:r>
            <w:r w:rsidRPr="009278EC">
              <w:rPr>
                <w:rFonts w:ascii="Arial" w:hAnsi="Arial" w:cs="Arial"/>
                <w:sz w:val="16"/>
                <w:szCs w:val="16"/>
              </w:rPr>
              <w:br/>
              <w:t>* Año 2015: Asouan 0.52 Ha (Sumapaz), Acuepiedraparada 4.4 Ha, Pasquilla Centro 3.3 Ha, El saltonal  1 .7 Ha (Ciudad Bolívar), Agualinda Chiguaza 1.7 Ha,El Destino 3.05 Ha, Aguas claras Olarte  1 Ha, Acuamarg  1.13 Ha,  (Usme) :16.75 ha</w:t>
            </w:r>
            <w:r w:rsidRPr="009278EC">
              <w:rPr>
                <w:rFonts w:ascii="Arial" w:hAnsi="Arial" w:cs="Arial"/>
                <w:sz w:val="16"/>
                <w:szCs w:val="16"/>
              </w:rPr>
              <w:br/>
              <w:t>* Año 2014: Asoporquera 0.2 Ha (Ciudad Bolívar), Agualinda Chiguaza 3 Ha (Usme), Asouan 0.2 Ha (Sumapaz), Aguas Claras Olarte 0.7 Ha (Usme) y Acuepiedraparada 8.6 Ha (Ciudad Bolívar): 12.7 ha</w:t>
            </w:r>
            <w:r w:rsidRPr="009278EC">
              <w:rPr>
                <w:rFonts w:ascii="Arial" w:hAnsi="Arial" w:cs="Arial"/>
                <w:sz w:val="16"/>
                <w:szCs w:val="16"/>
              </w:rPr>
              <w:br/>
              <w:t>* Año 2013: Aguas Doradas 11 Ha (Usme).</w:t>
            </w:r>
            <w:r w:rsidRPr="009278EC">
              <w:rPr>
                <w:rFonts w:ascii="Arial" w:hAnsi="Arial" w:cs="Arial"/>
                <w:sz w:val="16"/>
                <w:szCs w:val="16"/>
              </w:rPr>
              <w:br/>
              <w:t>* Año 2012: Asoporquera 1.5 Ha (Ciudad Bolívar).</w:t>
            </w:r>
          </w:p>
        </w:tc>
        <w:tc>
          <w:tcPr>
            <w:tcW w:w="170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 xml:space="preserve">Ocupación Armónica y Equilibrada del Territorio </w:t>
            </w:r>
          </w:p>
        </w:tc>
        <w:tc>
          <w:tcPr>
            <w:tcW w:w="155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1151 de 2014</w:t>
            </w:r>
            <w:r w:rsidRPr="009278EC">
              <w:rPr>
                <w:rFonts w:ascii="Arial" w:hAnsi="Arial" w:cs="Arial"/>
                <w:sz w:val="16"/>
                <w:szCs w:val="16"/>
              </w:rPr>
              <w:br/>
              <w:t>2. 979/15</w:t>
            </w:r>
            <w:r w:rsidRPr="009278EC">
              <w:rPr>
                <w:rFonts w:ascii="Arial" w:hAnsi="Arial" w:cs="Arial"/>
                <w:sz w:val="16"/>
                <w:szCs w:val="16"/>
              </w:rPr>
              <w:br/>
              <w:t>3. 761/15</w:t>
            </w:r>
            <w:r w:rsidRPr="009278EC">
              <w:rPr>
                <w:rFonts w:ascii="Arial" w:hAnsi="Arial" w:cs="Arial"/>
                <w:sz w:val="16"/>
                <w:szCs w:val="16"/>
              </w:rPr>
              <w:br/>
              <w:t>4. 358/15</w:t>
            </w:r>
            <w:r w:rsidRPr="009278EC">
              <w:rPr>
                <w:rFonts w:ascii="Arial" w:hAnsi="Arial" w:cs="Arial"/>
                <w:sz w:val="16"/>
                <w:szCs w:val="16"/>
              </w:rPr>
              <w:br/>
              <w:t>5. 1128/15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Ésta actividad guarda coherencia con el objetivo "Ocupación Armónica y Equilibrada del Territorio" dado que busca que los propietarios y juntas administarodras de acueductos veredales tomen conciencia en el uso de los espacios abastecedores de acueductos veredales y destinen dichos espacios a la recuperación y protección de su recurso hídrico, y de esta forma se aproveche mejor el recursols ecosistemas y el paisaje.</w:t>
            </w:r>
            <w:r w:rsidRPr="009278EC">
              <w:rPr>
                <w:rFonts w:ascii="Arial" w:hAnsi="Arial" w:cs="Arial"/>
                <w:sz w:val="16"/>
                <w:szCs w:val="16"/>
              </w:rPr>
              <w:br/>
            </w:r>
            <w:r w:rsidRPr="009278EC">
              <w:rPr>
                <w:rFonts w:ascii="Arial" w:hAnsi="Arial" w:cs="Arial"/>
                <w:sz w:val="16"/>
                <w:szCs w:val="16"/>
              </w:rPr>
              <w:br/>
              <w:t xml:space="preserve">Igualmente guarda coherencia y concordancia con la estrategia "Manejo Físico y Ecourbanismo" puesto que la actividad se </w:t>
            </w:r>
            <w:r w:rsidRPr="009278EC">
              <w:rPr>
                <w:rFonts w:ascii="Arial" w:hAnsi="Arial" w:cs="Arial"/>
                <w:sz w:val="16"/>
                <w:szCs w:val="16"/>
              </w:rPr>
              <w:lastRenderedPageBreak/>
              <w:t>relaciona con la protección y restauración de ecosistemas estratégicos de manera participativa como son aquellos que hacen parte de las zonas abastecedoras de acueductos veredales y se busca que exista la conectividad ecológica en las diferentes áreas intervenidas, y se cambien conductas sociales frente al uso y portección de dichos espacios por tal motivo estas acciones se desarrollan conjuntamente con las comunidades, propietarios y juntas administradoras de acueductos veredales.</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Definir lineamientos en la orientación de la reconversión de los sistemas productivos hacia sistemas sostenibles ambientales</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28. Generar un documento de lineamientos para gestión en la ruralidad, así como los conceptos y documentos técnicos de apoyo y que se requieran en el marco de las diferentes </w:t>
            </w:r>
            <w:r w:rsidRPr="009278EC">
              <w:rPr>
                <w:rFonts w:ascii="Arial" w:hAnsi="Arial" w:cs="Arial"/>
                <w:sz w:val="16"/>
                <w:szCs w:val="16"/>
              </w:rPr>
              <w:lastRenderedPageBreak/>
              <w:t>instancias de gestión  donde se participe</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 xml:space="preserve">Los lineamientos se empezaron a trabajar en el mes de mayo de 2013, se establecieron sobre una revisión bibliográfica de la información base de la entidad sobre los avances en la construcción de lineamientos ambientales desde la SER, en específico, los productos del Contrato 1326 de 2012 "Elementos generales para la construcción de lineamientos ambientales para la reconversión de sistemas productivos sostenibles en la ruralidad del Distrito Capital" y se  hizo una revisión de los informes ejecutivos de los Planes de Manejo en espacios rurales como punto de partida para establecer los lineamientos de </w:t>
            </w:r>
            <w:r w:rsidRPr="009278EC">
              <w:rPr>
                <w:rFonts w:ascii="Arial" w:hAnsi="Arial" w:cs="Arial"/>
                <w:sz w:val="16"/>
                <w:szCs w:val="16"/>
              </w:rPr>
              <w:lastRenderedPageBreak/>
              <w:t xml:space="preserve">manera participativa, e igualmente resultados de los convenios de implementación de Buenas Prácticas Agrícolas y Ganadearas realizados por la entidad en 2010.  </w:t>
            </w:r>
            <w:r w:rsidRPr="009278EC">
              <w:rPr>
                <w:rFonts w:ascii="Arial" w:hAnsi="Arial" w:cs="Arial"/>
                <w:sz w:val="16"/>
                <w:szCs w:val="16"/>
              </w:rPr>
              <w:br/>
              <w:t xml:space="preserve">El documento tuvo que someterse a cambios debido a la dinámica normativa de la ciudad y la región, para el caso la suspensión del MEPOT y la entrada en vigencia del re-alinderamiento de la reserva productora y protectora de la cuenca alta del rio Bogotá. La cual afecta los puntos donde se deben aplicar los lineamientos. </w:t>
            </w:r>
            <w:r w:rsidRPr="009278EC">
              <w:rPr>
                <w:rFonts w:ascii="Arial" w:hAnsi="Arial" w:cs="Arial"/>
                <w:sz w:val="16"/>
                <w:szCs w:val="16"/>
              </w:rPr>
              <w:br/>
              <w:t xml:space="preserve">A hoy, se tiene un documento en donde se han incorporado las observaciones hechas por la Dirección de Gestión Ambiental,  la Subdirección de Políticas y Planes Ambientales de la SDA y la CAR con el fin de establecer un documento final. El documento se entregó a la oficina de PNN de Sumapaz sin que se recibieran observaciones al respecto. Con este resultado se ha entregado copia del documento que contiene los lineamientos a la Secretaría Distrital de Desarrollo Económico y a la Secretaría Distrital de Planeación con el fin de enriquecer los procesos de construcción de los instrumentos de ordenamiento territorial (UPR) y procesos de gestión llevados por estos sectores. </w:t>
            </w:r>
          </w:p>
        </w:tc>
        <w:tc>
          <w:tcPr>
            <w:tcW w:w="170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 xml:space="preserve">Productividad y Competitividad Sostenibles </w:t>
            </w:r>
          </w:p>
        </w:tc>
        <w:tc>
          <w:tcPr>
            <w:tcW w:w="155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noWrap/>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801/2015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guarda coherencia y concordancia con el objetivo "Productividad y Competitividad Sostenibles" debido a que estos lineamientos buscan aportar a que se desarrollen procesos de la restauración, preservación e incremento de la riqueza biológica y riqueza ecosistémica de la ruralidad. </w:t>
            </w:r>
            <w:r w:rsidRPr="009278EC">
              <w:rPr>
                <w:rFonts w:ascii="Arial" w:hAnsi="Arial" w:cs="Arial"/>
                <w:sz w:val="16"/>
                <w:szCs w:val="16"/>
              </w:rPr>
              <w:br/>
            </w:r>
            <w:r w:rsidRPr="009278EC">
              <w:rPr>
                <w:rFonts w:ascii="Arial" w:hAnsi="Arial" w:cs="Arial"/>
                <w:sz w:val="16"/>
                <w:szCs w:val="16"/>
              </w:rPr>
              <w:br/>
              <w:t xml:space="preserve">Igualmente guarda coherencia y concordancia </w:t>
            </w:r>
            <w:r w:rsidRPr="009278EC">
              <w:rPr>
                <w:rFonts w:ascii="Arial" w:hAnsi="Arial" w:cs="Arial"/>
                <w:sz w:val="16"/>
                <w:szCs w:val="16"/>
              </w:rPr>
              <w:lastRenderedPageBreak/>
              <w:t xml:space="preserve">con la estrategia "Manejo Físico y Ecourbanismo" porque la actividad se basa en la elaboración de lineamientos para orientar desde el punto de vista ambiental las decisiones institucionales y ciudadanas en torno al aprovechamiento y transformación del territorio y protección y manejo de los recursos ubicados en zona rural, esto partiendo de que la actividad debe ser articulada desde las Entidades que hacen parte del territorio y de la forma en la cual se deben orientar los habitantes rurales para su manejo y de esta forma garantizar su sostenibilidad en el territorio. </w:t>
            </w:r>
          </w:p>
        </w:tc>
      </w:tr>
      <w:tr w:rsidR="009278EC" w:rsidRPr="009278EC" w:rsidTr="009278EC">
        <w:trPr>
          <w:trHeight w:val="1002"/>
        </w:trPr>
        <w:tc>
          <w:tcPr>
            <w:tcW w:w="122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821</w:t>
            </w:r>
          </w:p>
        </w:tc>
        <w:tc>
          <w:tcPr>
            <w:tcW w:w="1337"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Administración y manejo institucional de 100 hectáreas de suelo de protección del Distrito</w:t>
            </w: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8. Adelantar la administración de los parques ecológicos distritales de humedal en el marco de las politicas establecidas, desarrollando acciones para promover el uso público y la gestión del conocimiento</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Se mantuvo la administración directa del Parque Ecológico Distrital de Humedal Santa María del Lago (10,8). Igualmente se conformaron y mantuvieron los equipos de administración para cada humedal, cuyos miembros son: un administrador, un apoyo técnico - social y un profesional de monitoreo, quienes se han encargado de realizar las acciones de seguimiento y gestión en los PEDH.</w:t>
            </w:r>
          </w:p>
        </w:tc>
        <w:tc>
          <w:tcPr>
            <w:tcW w:w="1701"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Conservación y Adecuado Manejo de la Fauna y la Flora</w:t>
            </w:r>
          </w:p>
        </w:tc>
        <w:tc>
          <w:tcPr>
            <w:tcW w:w="1559" w:type="dxa"/>
            <w:vMerge w:val="restart"/>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Manejo Físico y Ecourbanismo</w:t>
            </w: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502/2015</w:t>
            </w:r>
            <w:r w:rsidRPr="009278EC">
              <w:rPr>
                <w:rFonts w:ascii="Arial" w:hAnsi="Arial" w:cs="Arial"/>
                <w:sz w:val="16"/>
                <w:szCs w:val="16"/>
              </w:rPr>
              <w:br/>
              <w:t>2. 1164/2015</w:t>
            </w:r>
            <w:r w:rsidRPr="009278EC">
              <w:rPr>
                <w:rFonts w:ascii="Arial" w:hAnsi="Arial" w:cs="Arial"/>
                <w:sz w:val="16"/>
                <w:szCs w:val="16"/>
              </w:rPr>
              <w:br/>
              <w:t>3. 663/2015</w:t>
            </w:r>
            <w:r w:rsidRPr="009278EC">
              <w:rPr>
                <w:rFonts w:ascii="Arial" w:hAnsi="Arial" w:cs="Arial"/>
                <w:sz w:val="16"/>
                <w:szCs w:val="16"/>
              </w:rPr>
              <w:br/>
              <w:t>4. 1049/2015</w:t>
            </w:r>
            <w:r w:rsidRPr="009278EC">
              <w:rPr>
                <w:rFonts w:ascii="Arial" w:hAnsi="Arial" w:cs="Arial"/>
                <w:sz w:val="16"/>
                <w:szCs w:val="16"/>
              </w:rPr>
              <w:br/>
              <w:t>5. 1090/2015</w:t>
            </w:r>
            <w:r w:rsidRPr="009278EC">
              <w:rPr>
                <w:rFonts w:ascii="Arial" w:hAnsi="Arial" w:cs="Arial"/>
                <w:sz w:val="16"/>
                <w:szCs w:val="16"/>
              </w:rPr>
              <w:br/>
              <w:t>6. 784/2015</w:t>
            </w:r>
            <w:r w:rsidRPr="009278EC">
              <w:rPr>
                <w:rFonts w:ascii="Arial" w:hAnsi="Arial" w:cs="Arial"/>
                <w:sz w:val="16"/>
                <w:szCs w:val="16"/>
              </w:rPr>
              <w:br/>
              <w:t>7. 1203/2015</w:t>
            </w:r>
            <w:r w:rsidRPr="009278EC">
              <w:rPr>
                <w:rFonts w:ascii="Arial" w:hAnsi="Arial" w:cs="Arial"/>
                <w:sz w:val="16"/>
                <w:szCs w:val="16"/>
              </w:rPr>
              <w:br/>
              <w:t>8. 894/2015</w:t>
            </w:r>
            <w:r w:rsidRPr="009278EC">
              <w:rPr>
                <w:rFonts w:ascii="Arial" w:hAnsi="Arial" w:cs="Arial"/>
                <w:sz w:val="16"/>
                <w:szCs w:val="16"/>
              </w:rPr>
              <w:br/>
              <w:t>9. 561/2015</w:t>
            </w:r>
            <w:r w:rsidRPr="009278EC">
              <w:rPr>
                <w:rFonts w:ascii="Arial" w:hAnsi="Arial" w:cs="Arial"/>
                <w:sz w:val="16"/>
                <w:szCs w:val="16"/>
              </w:rPr>
              <w:br/>
              <w:t>10. 1008/2015</w:t>
            </w:r>
            <w:r w:rsidRPr="009278EC">
              <w:rPr>
                <w:rFonts w:ascii="Arial" w:hAnsi="Arial" w:cs="Arial"/>
                <w:sz w:val="16"/>
                <w:szCs w:val="16"/>
              </w:rPr>
              <w:br/>
              <w:t xml:space="preserve">11. 1177/2015 </w:t>
            </w:r>
            <w:r w:rsidRPr="009278EC">
              <w:rPr>
                <w:rFonts w:ascii="Arial" w:hAnsi="Arial" w:cs="Arial"/>
                <w:sz w:val="16"/>
                <w:szCs w:val="16"/>
              </w:rPr>
              <w:br/>
            </w:r>
            <w:r w:rsidRPr="009278EC">
              <w:rPr>
                <w:rFonts w:ascii="Arial" w:hAnsi="Arial" w:cs="Arial"/>
                <w:sz w:val="16"/>
                <w:szCs w:val="16"/>
              </w:rPr>
              <w:lastRenderedPageBreak/>
              <w:t>12. 1091/2015</w:t>
            </w:r>
            <w:r w:rsidRPr="009278EC">
              <w:rPr>
                <w:rFonts w:ascii="Arial" w:hAnsi="Arial" w:cs="Arial"/>
                <w:sz w:val="16"/>
                <w:szCs w:val="16"/>
              </w:rPr>
              <w:br/>
              <w:t>13. 882/2015</w:t>
            </w:r>
            <w:r w:rsidRPr="009278EC">
              <w:rPr>
                <w:rFonts w:ascii="Arial" w:hAnsi="Arial" w:cs="Arial"/>
                <w:sz w:val="16"/>
                <w:szCs w:val="16"/>
              </w:rPr>
              <w:br/>
              <w:t>14. 1199/2015</w:t>
            </w:r>
            <w:r w:rsidRPr="009278EC">
              <w:rPr>
                <w:rFonts w:ascii="Arial" w:hAnsi="Arial" w:cs="Arial"/>
                <w:sz w:val="16"/>
                <w:szCs w:val="16"/>
              </w:rPr>
              <w:br/>
              <w:t>15. 913/2015</w:t>
            </w:r>
            <w:r w:rsidRPr="009278EC">
              <w:rPr>
                <w:rFonts w:ascii="Arial" w:hAnsi="Arial" w:cs="Arial"/>
                <w:sz w:val="16"/>
                <w:szCs w:val="16"/>
              </w:rPr>
              <w:br/>
              <w:t>16. 1003/2015</w:t>
            </w:r>
            <w:r w:rsidRPr="009278EC">
              <w:rPr>
                <w:rFonts w:ascii="Arial" w:hAnsi="Arial" w:cs="Arial"/>
                <w:sz w:val="16"/>
                <w:szCs w:val="16"/>
              </w:rPr>
              <w:br/>
              <w:t>17. 1057/2015</w:t>
            </w:r>
            <w:r w:rsidRPr="009278EC">
              <w:rPr>
                <w:rFonts w:ascii="Arial" w:hAnsi="Arial" w:cs="Arial"/>
                <w:sz w:val="16"/>
                <w:szCs w:val="16"/>
              </w:rPr>
              <w:br/>
              <w:t>18. 1102/2015</w:t>
            </w:r>
            <w:r w:rsidRPr="009278EC">
              <w:rPr>
                <w:rFonts w:ascii="Arial" w:hAnsi="Arial" w:cs="Arial"/>
                <w:sz w:val="16"/>
                <w:szCs w:val="16"/>
              </w:rPr>
              <w:br/>
              <w:t>19. 995/2015</w:t>
            </w:r>
            <w:r w:rsidRPr="009278EC">
              <w:rPr>
                <w:rFonts w:ascii="Arial" w:hAnsi="Arial" w:cs="Arial"/>
                <w:sz w:val="16"/>
                <w:szCs w:val="16"/>
              </w:rPr>
              <w:br/>
              <w:t>20. 1074/2015</w:t>
            </w:r>
            <w:r w:rsidRPr="009278EC">
              <w:rPr>
                <w:rFonts w:ascii="Arial" w:hAnsi="Arial" w:cs="Arial"/>
                <w:sz w:val="16"/>
                <w:szCs w:val="16"/>
              </w:rPr>
              <w:br/>
              <w:t>21. 994/2015</w:t>
            </w:r>
            <w:r w:rsidRPr="009278EC">
              <w:rPr>
                <w:rFonts w:ascii="Arial" w:hAnsi="Arial" w:cs="Arial"/>
                <w:sz w:val="16"/>
                <w:szCs w:val="16"/>
              </w:rPr>
              <w:br/>
              <w:t>22. 1291/2015</w:t>
            </w:r>
            <w:r w:rsidRPr="009278EC">
              <w:rPr>
                <w:rFonts w:ascii="Arial" w:hAnsi="Arial" w:cs="Arial"/>
                <w:sz w:val="16"/>
                <w:szCs w:val="16"/>
              </w:rPr>
              <w:br/>
              <w:t>23. 999/2015</w:t>
            </w:r>
            <w:r w:rsidRPr="009278EC">
              <w:rPr>
                <w:rFonts w:ascii="Arial" w:hAnsi="Arial" w:cs="Arial"/>
                <w:sz w:val="16"/>
                <w:szCs w:val="16"/>
              </w:rPr>
              <w:br/>
              <w:t>24. 1089/2015</w:t>
            </w:r>
            <w:r w:rsidRPr="009278EC">
              <w:rPr>
                <w:rFonts w:ascii="Arial" w:hAnsi="Arial" w:cs="Arial"/>
                <w:sz w:val="16"/>
                <w:szCs w:val="16"/>
              </w:rPr>
              <w:br/>
              <w:t>25. 1114/2015</w:t>
            </w:r>
            <w:r w:rsidRPr="009278EC">
              <w:rPr>
                <w:rFonts w:ascii="Arial" w:hAnsi="Arial" w:cs="Arial"/>
                <w:sz w:val="16"/>
                <w:szCs w:val="16"/>
              </w:rPr>
              <w:br/>
              <w:t>26. 1015/2015</w:t>
            </w:r>
            <w:r w:rsidRPr="009278EC">
              <w:rPr>
                <w:rFonts w:ascii="Arial" w:hAnsi="Arial" w:cs="Arial"/>
                <w:sz w:val="16"/>
                <w:szCs w:val="16"/>
              </w:rPr>
              <w:br/>
              <w:t>27. 1024/2015</w:t>
            </w:r>
            <w:r w:rsidRPr="009278EC">
              <w:rPr>
                <w:rFonts w:ascii="Arial" w:hAnsi="Arial" w:cs="Arial"/>
                <w:sz w:val="16"/>
                <w:szCs w:val="16"/>
              </w:rPr>
              <w:br/>
              <w:t>28. 997/2015</w:t>
            </w:r>
            <w:r w:rsidRPr="009278EC">
              <w:rPr>
                <w:rFonts w:ascii="Arial" w:hAnsi="Arial" w:cs="Arial"/>
                <w:sz w:val="16"/>
                <w:szCs w:val="16"/>
              </w:rPr>
              <w:br/>
              <w:t>29. 1016/2015</w:t>
            </w:r>
            <w:r w:rsidRPr="009278EC">
              <w:rPr>
                <w:rFonts w:ascii="Arial" w:hAnsi="Arial" w:cs="Arial"/>
                <w:sz w:val="16"/>
                <w:szCs w:val="16"/>
              </w:rPr>
              <w:br/>
              <w:t>30. 1113/2015</w:t>
            </w:r>
            <w:r w:rsidRPr="009278EC">
              <w:rPr>
                <w:rFonts w:ascii="Arial" w:hAnsi="Arial" w:cs="Arial"/>
                <w:sz w:val="16"/>
                <w:szCs w:val="16"/>
              </w:rPr>
              <w:br/>
              <w:t>31. 1053/2015</w:t>
            </w:r>
            <w:r w:rsidRPr="009278EC">
              <w:rPr>
                <w:rFonts w:ascii="Arial" w:hAnsi="Arial" w:cs="Arial"/>
                <w:sz w:val="16"/>
                <w:szCs w:val="16"/>
              </w:rPr>
              <w:br/>
              <w:t>32. 1054/2015</w:t>
            </w:r>
            <w:r w:rsidRPr="009278EC">
              <w:rPr>
                <w:rFonts w:ascii="Arial" w:hAnsi="Arial" w:cs="Arial"/>
                <w:sz w:val="16"/>
                <w:szCs w:val="16"/>
              </w:rPr>
              <w:br/>
              <w:t>33. 1002/2015</w:t>
            </w:r>
            <w:r w:rsidRPr="009278EC">
              <w:rPr>
                <w:rFonts w:ascii="Arial" w:hAnsi="Arial" w:cs="Arial"/>
                <w:sz w:val="16"/>
                <w:szCs w:val="16"/>
              </w:rPr>
              <w:br/>
              <w:t>34. 1034/2015</w:t>
            </w:r>
            <w:r w:rsidRPr="009278EC">
              <w:rPr>
                <w:rFonts w:ascii="Arial" w:hAnsi="Arial" w:cs="Arial"/>
                <w:sz w:val="16"/>
                <w:szCs w:val="16"/>
              </w:rPr>
              <w:br/>
              <w:t>35. 1044/2015</w:t>
            </w:r>
            <w:r w:rsidRPr="009278EC">
              <w:rPr>
                <w:rFonts w:ascii="Arial" w:hAnsi="Arial" w:cs="Arial"/>
                <w:sz w:val="16"/>
                <w:szCs w:val="16"/>
              </w:rPr>
              <w:br/>
              <w:t>36. 1000/2015</w:t>
            </w:r>
            <w:r w:rsidRPr="009278EC">
              <w:rPr>
                <w:rFonts w:ascii="Arial" w:hAnsi="Arial" w:cs="Arial"/>
                <w:sz w:val="16"/>
                <w:szCs w:val="16"/>
              </w:rPr>
              <w:br/>
              <w:t>37. 1200/2015</w:t>
            </w:r>
            <w:r w:rsidRPr="009278EC">
              <w:rPr>
                <w:rFonts w:ascii="Arial" w:hAnsi="Arial" w:cs="Arial"/>
                <w:sz w:val="16"/>
                <w:szCs w:val="16"/>
              </w:rPr>
              <w:br/>
              <w:t>38. 1201/2015</w:t>
            </w:r>
            <w:r w:rsidRPr="009278EC">
              <w:rPr>
                <w:rFonts w:ascii="Arial" w:hAnsi="Arial" w:cs="Arial"/>
                <w:sz w:val="16"/>
                <w:szCs w:val="16"/>
              </w:rPr>
              <w:br/>
              <w:t>39. 996/2015</w:t>
            </w:r>
            <w:r w:rsidRPr="009278EC">
              <w:rPr>
                <w:rFonts w:ascii="Arial" w:hAnsi="Arial" w:cs="Arial"/>
                <w:sz w:val="16"/>
                <w:szCs w:val="16"/>
              </w:rPr>
              <w:br/>
              <w:t>40. 1252/2015</w:t>
            </w:r>
            <w:r w:rsidRPr="009278EC">
              <w:rPr>
                <w:rFonts w:ascii="Arial" w:hAnsi="Arial" w:cs="Arial"/>
                <w:sz w:val="16"/>
                <w:szCs w:val="16"/>
              </w:rPr>
              <w:br/>
              <w:t>41. 1136/2015</w:t>
            </w:r>
            <w:r w:rsidRPr="009278EC">
              <w:rPr>
                <w:rFonts w:ascii="Arial" w:hAnsi="Arial" w:cs="Arial"/>
                <w:sz w:val="16"/>
                <w:szCs w:val="16"/>
              </w:rPr>
              <w:br/>
            </w:r>
            <w:r w:rsidRPr="009278EC">
              <w:rPr>
                <w:rFonts w:ascii="Arial" w:hAnsi="Arial" w:cs="Arial"/>
                <w:sz w:val="16"/>
                <w:szCs w:val="16"/>
              </w:rPr>
              <w:lastRenderedPageBreak/>
              <w:t>42. 757/2015</w:t>
            </w:r>
            <w:r w:rsidRPr="009278EC">
              <w:rPr>
                <w:rFonts w:ascii="Arial" w:hAnsi="Arial" w:cs="Arial"/>
                <w:sz w:val="16"/>
                <w:szCs w:val="16"/>
              </w:rPr>
              <w:br/>
              <w:t>43. 1072/2015</w:t>
            </w:r>
            <w:r w:rsidRPr="009278EC">
              <w:rPr>
                <w:rFonts w:ascii="Arial" w:hAnsi="Arial" w:cs="Arial"/>
                <w:sz w:val="16"/>
                <w:szCs w:val="16"/>
              </w:rPr>
              <w:br/>
              <w:t>44. 930/2015</w:t>
            </w:r>
            <w:r w:rsidRPr="009278EC">
              <w:rPr>
                <w:rFonts w:ascii="Arial" w:hAnsi="Arial" w:cs="Arial"/>
                <w:sz w:val="16"/>
                <w:szCs w:val="16"/>
              </w:rPr>
              <w:br/>
              <w:t>45. 834/2015</w:t>
            </w:r>
            <w:r w:rsidRPr="009278EC">
              <w:rPr>
                <w:rFonts w:ascii="Arial" w:hAnsi="Arial" w:cs="Arial"/>
                <w:sz w:val="16"/>
                <w:szCs w:val="16"/>
              </w:rPr>
              <w:br/>
              <w:t>46. 1119/2015</w:t>
            </w:r>
            <w:r w:rsidRPr="009278EC">
              <w:rPr>
                <w:rFonts w:ascii="Arial" w:hAnsi="Arial" w:cs="Arial"/>
                <w:sz w:val="16"/>
                <w:szCs w:val="16"/>
              </w:rPr>
              <w:br/>
              <w:t>47. 1677/2015</w:t>
            </w:r>
            <w:r w:rsidRPr="009278EC">
              <w:rPr>
                <w:rFonts w:ascii="Arial" w:hAnsi="Arial" w:cs="Arial"/>
                <w:sz w:val="16"/>
                <w:szCs w:val="16"/>
              </w:rPr>
              <w:br/>
              <w:t>48. 1478/2014</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 xml:space="preserve">Las actividades guardan coherencia con el objetivo "Conservación y Adecuado Manejo de la Fauna y la Flora" dado que los lineamientos buscan la preservación e incremento de la riqueza biológica del territorio distrital, haciendo control de la explotación ilegal de la diversidad en el distrito, generando alternativas de conectividad y restauración de las áreas urbanas y rurales del distrito, de esta manera mejorando la calidad ambiental y paisajistica de la estructura ecológica distrital. </w:t>
            </w:r>
            <w:r w:rsidRPr="009278EC">
              <w:rPr>
                <w:rFonts w:ascii="Arial" w:hAnsi="Arial" w:cs="Arial"/>
                <w:sz w:val="16"/>
                <w:szCs w:val="16"/>
              </w:rPr>
              <w:lastRenderedPageBreak/>
              <w:t>Además,  guarda coherencia y concordancia con la estrategia "Manejo Físico y Ecourbanismo" debido a la conformación de un grupo multidisciplinario con el objetivo de generar manejo  de las problematicas de los PEDH, involucrando comunidad en dichas labores, creando sentido de pertenencia por estas áreas, las cuales son usadas por el distrito debido a los diferentes servicios ecosistemicos que estas zonas brindan. Además, se creó un programa de monitoreo de biodiversidad quienes generan periodicamente información acerca de la biodiversidad presente en los PEDH, la cual potencialmente puede usar usada para el desarrollo de modelos de conservación y desarrollo sostenible entre los urbanistico y lo ecológico.</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9. Desarrollar acciones operativas y de restauración ecológica dirigidas al manejo y mantenimiento de   los ecosistemas de humedal.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En el marco del Convenio No. 1525 de 2014 se adelanta las acciones de manejo en: el Parque Ecológico Distrital de Humedal El Tunjo (1) se hizo la recolección de 0.11 ton de residuos sólidos,  la recolección de 4,89 ton de escombros, extracción manual de invasoras  (Calabaza, Elodea y pasto kikuyo)  en 1,16 ha, cerramiento de 1.79 km; en el Parque Ecológico Distrital de Humedal Salitre   se adelantó la recolección de 1,52  ton de residuos sólidos - ZMPA Y RCH -, recuperación de espejo de agua en 1.05  ha, extracción manual de especies invasoras (Calabaza, Elodea y pasto kikuyo) - ZMPA Y RCH  e 1, 42 ha, cosecha de compostaje 46, 60 ton, plantación de 990 árboles y mantenimiento de 1051 árboles (plateo, riego, fertilización y replante) y en el Parque Ecológico Distrital de Humedal  La Isla (1) se  hizo la plantación de  80 árboles, control de especies macrófitas 1,79 ton, recuperación de espejo de agua 0.11 ha y corte de césped 0.08 ha. </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1525 de 2014</w:t>
            </w:r>
            <w:r w:rsidRPr="009278EC">
              <w:rPr>
                <w:rFonts w:ascii="Arial" w:hAnsi="Arial" w:cs="Arial"/>
                <w:sz w:val="16"/>
                <w:szCs w:val="16"/>
              </w:rPr>
              <w:br/>
              <w:t>2. 907/2015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Las acciones de restauración ecológica y mantenimiento en  ecosistemas de humedal , son concordantes con el objetivo “Conservación y Adecuado Manejo de la Fauna y la Flora” ya que las actividades realizadas están encaminadas al incremento y recuperación de la riqueza biológica con enriquecimiento vegetal basado en módulos diseñados teniendo en cuenta las características del área a intervenir  y utilizando especies  nativas que aporten al restablecimiento de funciones ecosistemicas y  garantizar el establecimiento de los procesos que permitan la conectividad estructural y la recuperación de la funcionalidad de los ecosistemas de la Estructura Ecológica Principal.</w:t>
            </w:r>
            <w:r w:rsidRPr="009278EC">
              <w:rPr>
                <w:rFonts w:ascii="Arial" w:hAnsi="Arial" w:cs="Arial"/>
                <w:sz w:val="16"/>
                <w:szCs w:val="16"/>
              </w:rPr>
              <w:br/>
            </w:r>
            <w:r w:rsidRPr="009278EC">
              <w:rPr>
                <w:rFonts w:ascii="Arial" w:hAnsi="Arial" w:cs="Arial"/>
                <w:sz w:val="16"/>
                <w:szCs w:val="16"/>
              </w:rPr>
              <w:br/>
              <w:t xml:space="preserve">Igualmente son coherentes con la estrategia  "Manejo Físico y Ecourbanismo" dado que se desarrollan en función de la conectividad entre los cuerpos de agua y los cerros orientales </w:t>
            </w:r>
            <w:r w:rsidRPr="009278EC">
              <w:rPr>
                <w:rFonts w:ascii="Arial" w:hAnsi="Arial" w:cs="Arial"/>
                <w:sz w:val="16"/>
                <w:szCs w:val="16"/>
              </w:rPr>
              <w:lastRenderedPageBreak/>
              <w:t>como espacios de referencia en la articulación urbana con los ecosistemas.</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11. Desarrollar acciones operativas y de restauración ecológica dirigidas al manejo y mantenimiento en las áreas intervenidas en el río Tunjuelo.</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Se realizó el  primer ciclo de mantenimiento en el sector de Boitá 1 con la plantación de 2.001, Jackeline con la plantación 1.183 y Villa del Río con 2.202 para un total de 5.383 árboles plantados en 7 hectáreas. </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1. 999 de 2013 </w:t>
            </w:r>
            <w:r w:rsidRPr="009278EC">
              <w:rPr>
                <w:rFonts w:ascii="Arial" w:hAnsi="Arial" w:cs="Arial"/>
                <w:sz w:val="16"/>
                <w:szCs w:val="16"/>
              </w:rPr>
              <w:br/>
              <w:t>2. 805/2015</w:t>
            </w:r>
            <w:r w:rsidRPr="009278EC">
              <w:rPr>
                <w:rFonts w:ascii="Arial" w:hAnsi="Arial" w:cs="Arial"/>
                <w:sz w:val="16"/>
                <w:szCs w:val="16"/>
              </w:rPr>
              <w:br/>
              <w:t>3. 936/2015</w:t>
            </w:r>
            <w:r w:rsidRPr="009278EC">
              <w:rPr>
                <w:rFonts w:ascii="Arial" w:hAnsi="Arial" w:cs="Arial"/>
                <w:sz w:val="16"/>
                <w:szCs w:val="16"/>
              </w:rPr>
              <w:br/>
              <w:t>4. 925/2015</w:t>
            </w:r>
            <w:r w:rsidRPr="009278EC">
              <w:rPr>
                <w:rFonts w:ascii="Arial" w:hAnsi="Arial" w:cs="Arial"/>
                <w:sz w:val="16"/>
                <w:szCs w:val="16"/>
              </w:rPr>
              <w:br/>
              <w:t>5. 1022/2015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Las acciones de  mantenimiento de las áreas restauradas, como las áreas intervenidas en el río Tunjuelo, son coherentes con el objetivo “Conservación y Adecuado Manejo de la Fauna y la </w:t>
            </w:r>
            <w:proofErr w:type="gramStart"/>
            <w:r w:rsidRPr="009278EC">
              <w:rPr>
                <w:rFonts w:ascii="Arial" w:hAnsi="Arial" w:cs="Arial"/>
                <w:sz w:val="16"/>
                <w:szCs w:val="16"/>
              </w:rPr>
              <w:t>Flora ”</w:t>
            </w:r>
            <w:proofErr w:type="gramEnd"/>
            <w:r w:rsidRPr="009278EC">
              <w:rPr>
                <w:rFonts w:ascii="Arial" w:hAnsi="Arial" w:cs="Arial"/>
                <w:sz w:val="16"/>
                <w:szCs w:val="16"/>
              </w:rPr>
              <w:t xml:space="preserve"> y con la estrategia "Manejo Físico y Ecourbanismo" ya que permiten garantizar la conectividad estructural y la recuperación de la funcionalidad de los ecosistemas de la Estructura Ecológica Principal.</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16. Realizar las acciones de administración integral del PEDM Entrenubes y las áreas de interés ambiental Parque Mirador de los Nevados y Soratama, incluyendo aquellas para la promoción del uso público.</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Durante el  2015, se han mantenido las acciones de administración (vigilancia, mantenimiento, gestión social, educación ambiental) en: Parque Ecológico Distrital de Montaña Entrenubes, Soratama, Parque Mirador de los Nevados y área de interés ambiental Arborizadora Alta. </w:t>
            </w:r>
            <w:r w:rsidRPr="009278EC">
              <w:rPr>
                <w:rFonts w:ascii="Arial" w:hAnsi="Arial" w:cs="Arial"/>
                <w:sz w:val="16"/>
                <w:szCs w:val="16"/>
              </w:rPr>
              <w:br/>
              <w:t xml:space="preserve">En desarrollo del convenio 1478 de 2014, el cual finalizó el 9 de septiembre de 2015, se realizaron las actividades de mantenimiento y recuperación de los ecosistemas administrados con resultados como: siembras de 2.018 árboles, siembra de coberturas en 5.092 m2, siembras de huertas  en 48 m2, plateo de 12.286 árboles y 1.989 arbustos, fertilización de 1.436 árboles, control de retamo espinoso en 29.788 m2, control de otras especies invasoras en 20.632 m2, producción de 2.470 kg de compost,  instalación de biomantos en 1.599 m2,  limpieza de </w:t>
            </w:r>
            <w:r w:rsidRPr="009278EC">
              <w:rPr>
                <w:rFonts w:ascii="Arial" w:hAnsi="Arial" w:cs="Arial"/>
                <w:sz w:val="16"/>
                <w:szCs w:val="16"/>
              </w:rPr>
              <w:lastRenderedPageBreak/>
              <w:t>32.266 ml de canales, recolección de 2.549 kg de residuos sólidos, instalación de 200 ml de cercas y mantenimiento de 993 ml de cercas.</w:t>
            </w:r>
            <w:r w:rsidRPr="009278EC">
              <w:rPr>
                <w:rFonts w:ascii="Arial" w:hAnsi="Arial" w:cs="Arial"/>
                <w:sz w:val="16"/>
                <w:szCs w:val="16"/>
              </w:rPr>
              <w:br/>
              <w:t>Mediante la ejecución del contrato de obra pública No. 1528 de 2014, que finalizó el 19 de diciembre de 2015,  se ejecutó la construcción de nuevas redes hidráulicas de suministros de agua potable, redes de riego, redes de recolección de aguas sanitarias y pluviales y obras complementarias del Parque Mirador de los Nevados.</w:t>
            </w:r>
            <w:r w:rsidRPr="009278EC">
              <w:rPr>
                <w:rFonts w:ascii="Arial" w:hAnsi="Arial" w:cs="Arial"/>
                <w:sz w:val="16"/>
                <w:szCs w:val="16"/>
              </w:rPr>
              <w:br/>
              <w:t>Así mismo, sigue en ejecución el contrato de consultoría No. 1513 de 2012 que tiene por objeto el diseño arquitectónico de las Aulas Ambientales en el Mirador de Juan Rey del Parque Entrenubes y del Aula Ambiental Soratama, así como los senderos peatonales en el Parque Entrenubes, el cual se encuentra en proceso de solicitud de las licencias de construcción para dar finalización a dicho contrato.</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1119/2015</w:t>
            </w:r>
            <w:r w:rsidRPr="009278EC">
              <w:rPr>
                <w:rFonts w:ascii="Arial" w:hAnsi="Arial" w:cs="Arial"/>
                <w:sz w:val="16"/>
                <w:szCs w:val="16"/>
              </w:rPr>
              <w:br/>
              <w:t>2. 1677/2015</w:t>
            </w:r>
            <w:r w:rsidRPr="009278EC">
              <w:rPr>
                <w:rFonts w:ascii="Arial" w:hAnsi="Arial" w:cs="Arial"/>
                <w:sz w:val="16"/>
                <w:szCs w:val="16"/>
              </w:rPr>
              <w:br/>
              <w:t>3. 1478/2014</w:t>
            </w:r>
            <w:r w:rsidRPr="009278EC">
              <w:rPr>
                <w:rFonts w:ascii="Arial" w:hAnsi="Arial" w:cs="Arial"/>
                <w:sz w:val="16"/>
                <w:szCs w:val="16"/>
              </w:rPr>
              <w:br/>
              <w:t>4. 695/2015</w:t>
            </w:r>
            <w:r w:rsidRPr="009278EC">
              <w:rPr>
                <w:rFonts w:ascii="Arial" w:hAnsi="Arial" w:cs="Arial"/>
                <w:sz w:val="16"/>
                <w:szCs w:val="16"/>
              </w:rPr>
              <w:br/>
              <w:t>5. 647/2015</w:t>
            </w:r>
            <w:r w:rsidRPr="009278EC">
              <w:rPr>
                <w:rFonts w:ascii="Arial" w:hAnsi="Arial" w:cs="Arial"/>
                <w:sz w:val="16"/>
                <w:szCs w:val="16"/>
              </w:rPr>
              <w:br/>
              <w:t>6. 725/2015</w:t>
            </w:r>
            <w:r w:rsidRPr="009278EC">
              <w:rPr>
                <w:rFonts w:ascii="Arial" w:hAnsi="Arial" w:cs="Arial"/>
                <w:sz w:val="16"/>
                <w:szCs w:val="16"/>
              </w:rPr>
              <w:br/>
              <w:t>7. 964/2015</w:t>
            </w:r>
            <w:r w:rsidRPr="009278EC">
              <w:rPr>
                <w:rFonts w:ascii="Arial" w:hAnsi="Arial" w:cs="Arial"/>
                <w:sz w:val="16"/>
                <w:szCs w:val="16"/>
              </w:rPr>
              <w:br/>
              <w:t>8. 916/2015</w:t>
            </w:r>
            <w:r w:rsidRPr="009278EC">
              <w:rPr>
                <w:rFonts w:ascii="Arial" w:hAnsi="Arial" w:cs="Arial"/>
                <w:sz w:val="16"/>
                <w:szCs w:val="16"/>
              </w:rPr>
              <w:br/>
              <w:t>9. 1001/2015</w:t>
            </w:r>
            <w:r w:rsidRPr="009278EC">
              <w:rPr>
                <w:rFonts w:ascii="Arial" w:hAnsi="Arial" w:cs="Arial"/>
                <w:sz w:val="16"/>
                <w:szCs w:val="16"/>
              </w:rPr>
              <w:br/>
              <w:t>10. 1140/2015</w:t>
            </w:r>
            <w:r w:rsidRPr="009278EC">
              <w:rPr>
                <w:rFonts w:ascii="Arial" w:hAnsi="Arial" w:cs="Arial"/>
                <w:sz w:val="16"/>
                <w:szCs w:val="16"/>
              </w:rPr>
              <w:br/>
              <w:t xml:space="preserve">11. 471/2015                             </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Ésta actividad es coherente con el objetivo "Conservación y Adecuado Manejo de la Fauna y la Flora" dado que la administración integral de los escenarios asociados a ésta actividad incluyen el manejo de la vegetación nativa, cambio de coberturas vegetales, restauración ecológica, instalación de biomantos en áreas degradadas y siembra de especies nativas para incrementar la biodiversidad ecológica, entre otras.</w:t>
            </w:r>
            <w:r w:rsidRPr="009278EC">
              <w:rPr>
                <w:rFonts w:ascii="Arial" w:hAnsi="Arial" w:cs="Arial"/>
                <w:sz w:val="16"/>
                <w:szCs w:val="16"/>
              </w:rPr>
              <w:br/>
            </w:r>
            <w:r w:rsidRPr="009278EC">
              <w:rPr>
                <w:rFonts w:ascii="Arial" w:hAnsi="Arial" w:cs="Arial"/>
                <w:sz w:val="16"/>
                <w:szCs w:val="16"/>
              </w:rPr>
              <w:br/>
              <w:t xml:space="preserve">También guarda coherencia con la estrategia "Manejo Físico y Ecourbanismo", ya que se cuenta con espacios habilitados para </w:t>
            </w:r>
            <w:r w:rsidRPr="009278EC">
              <w:rPr>
                <w:rFonts w:ascii="Arial" w:hAnsi="Arial" w:cs="Arial"/>
                <w:sz w:val="16"/>
                <w:szCs w:val="16"/>
              </w:rPr>
              <w:lastRenderedPageBreak/>
              <w:t xml:space="preserve">visitantes donde se desarrollan actividades de educación ambiental, investigación, participación comunitaria y se aplican los lineamientos del PIGA como instrumento que brinda herramientas para el uso sostenible de los recursos, en concordancia con los usos del suelo establecidos para dichos escenarios. </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17. Adelantar las gestiones técnicas  necesarias para adelantar acciones de administración del Parque Ecológico Distrital de Montaña Cerro Seco - Arborizadora Alta y otro sector de interés ambiental.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En el área de interés ambiental Arborizadora Alta-Cerro Seco (30 ha) se realizan acciones de manejo socioambiental  y vigilancia. En continuidad con dichas acciones  de administración del ecosistema xerofítico ubicado en el sector Arborizadora Alta - Ciudad Bolívar, la SER adelantó el establecimiento de acciones ambientales que permitieran la recuperación y conservación de este relicto de ecosistema xerofítico del Sur del Distrito Capital, durante 2015 se llevaron a cabo las siguientes gestiones:</w:t>
            </w:r>
            <w:r w:rsidRPr="009278EC">
              <w:rPr>
                <w:rFonts w:ascii="Arial" w:hAnsi="Arial" w:cs="Arial"/>
                <w:sz w:val="16"/>
                <w:szCs w:val="16"/>
              </w:rPr>
              <w:br/>
              <w:t xml:space="preserve">* Coordinación interinstitucional entre la SDA, el DADEP y el IDRD para establecer la vía jurídica que permita  obtener a esta entidad la administración del Parque Metropolitano de Arborizadora Alta, para la consolidación de los proyectos de gestión del territorio, entre ellos el establecimiento de un aula ambiental, un vivero de propagación para el ecosistema xerofitico y el desarrollo de </w:t>
            </w:r>
            <w:r w:rsidRPr="009278EC">
              <w:rPr>
                <w:rFonts w:ascii="Arial" w:hAnsi="Arial" w:cs="Arial"/>
                <w:sz w:val="16"/>
                <w:szCs w:val="16"/>
              </w:rPr>
              <w:lastRenderedPageBreak/>
              <w:t>programas ambientales.</w:t>
            </w:r>
            <w:r w:rsidRPr="009278EC">
              <w:rPr>
                <w:rFonts w:ascii="Arial" w:hAnsi="Arial" w:cs="Arial"/>
                <w:sz w:val="16"/>
                <w:szCs w:val="16"/>
              </w:rPr>
              <w:br/>
              <w:t>* Gestión interinstitucional para la declaratoria como área protegida de Arborizadora Alta,  como PEDM Cerro Seco, así  mismo se mantienen las acciones de protección mediante resolución 1197 de 2013.</w:t>
            </w:r>
            <w:r w:rsidRPr="009278EC">
              <w:rPr>
                <w:rFonts w:ascii="Arial" w:hAnsi="Arial" w:cs="Arial"/>
                <w:sz w:val="16"/>
                <w:szCs w:val="16"/>
              </w:rPr>
              <w:br/>
              <w:t>* Apoyo interinstitucional para las obras de recuperación integral de las quebradas y zanjones  que tienen injerencia en el área de interés ambiental de Arborizadora Alta en el ecosistema xerofítico.</w:t>
            </w:r>
            <w:r w:rsidRPr="009278EC">
              <w:rPr>
                <w:rFonts w:ascii="Arial" w:hAnsi="Arial" w:cs="Arial"/>
                <w:sz w:val="16"/>
                <w:szCs w:val="16"/>
              </w:rPr>
              <w:br/>
              <w:t>* Ejecución y mantenimiento de las obras de restauración ambiental en el parque metropolitano para la recuperación de la cobertura del enclave xerofítico que permita mejorar las condiciones  ambientales de la población de base.</w:t>
            </w:r>
            <w:r w:rsidRPr="009278EC">
              <w:rPr>
                <w:rFonts w:ascii="Arial" w:hAnsi="Arial" w:cs="Arial"/>
                <w:sz w:val="16"/>
                <w:szCs w:val="16"/>
              </w:rPr>
              <w:br/>
              <w:t>* Coordinación interinstitucional para la consolidación de instrumentos de gestión entre ellos la formulación de la UPR,  el PMA de la Reserva de la Cuenca Alta del rio Bogotá, y la consolidación de la franja de bordes.</w:t>
            </w:r>
            <w:r w:rsidRPr="009278EC">
              <w:rPr>
                <w:rFonts w:ascii="Arial" w:hAnsi="Arial" w:cs="Arial"/>
                <w:sz w:val="16"/>
                <w:szCs w:val="16"/>
              </w:rPr>
              <w:br/>
              <w:t>* Coordinación interinstitucional con la CAR, la Alcaldía de Soacha y la Gobernación de Cundinamarca para la construcción del corredor regional Bogotá - Soacha, como una estrategia de protección de los  ecosistemas secos y de subparámo.</w:t>
            </w:r>
            <w:r w:rsidRPr="009278EC">
              <w:rPr>
                <w:rFonts w:ascii="Arial" w:hAnsi="Arial" w:cs="Arial"/>
                <w:sz w:val="16"/>
                <w:szCs w:val="16"/>
              </w:rPr>
              <w:br/>
            </w:r>
            <w:r w:rsidRPr="009278EC">
              <w:rPr>
                <w:rFonts w:ascii="Arial" w:hAnsi="Arial" w:cs="Arial"/>
                <w:sz w:val="16"/>
                <w:szCs w:val="16"/>
              </w:rPr>
              <w:br/>
              <w:t>Se  encuentra en  proceso de liquidación el contrato de consultoría No. 643 de 2014 cuyo objeto es “Realizar el diagnóstico de los elementos del ecosistema seco o xerofita andina en el Borde Sur del D.C. ‘‘,  y se han aprobado los siguientes productos: Documento de análisis de aspectos socio económicos, Registro de los predios (propietario, ubicación, chip, destino económico) y el archivo fotográfico digital documentado.</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noWrap/>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1119/2015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Ésta actividad es coherente con el objetivo "Conservación y Adecuado Manejo de la Fauna y la Flora" dado que en éste ecosistema se adelantan labores de recuperación ambiental tales como siembra de árboles nativos, eliminación de especies invasoras, entre otras. </w:t>
            </w:r>
            <w:r w:rsidRPr="009278EC">
              <w:rPr>
                <w:rFonts w:ascii="Arial" w:hAnsi="Arial" w:cs="Arial"/>
                <w:sz w:val="16"/>
                <w:szCs w:val="16"/>
              </w:rPr>
              <w:br/>
            </w:r>
            <w:r w:rsidRPr="009278EC">
              <w:rPr>
                <w:rFonts w:ascii="Arial" w:hAnsi="Arial" w:cs="Arial"/>
                <w:sz w:val="16"/>
                <w:szCs w:val="16"/>
              </w:rPr>
              <w:br/>
              <w:t xml:space="preserve">También guarda coherencia con la estrategia "Manejo Físico y Ecourbanismo", ya que aporta a la protección y restauración de ecosistemas estratégicos y la conectividad ecológica de estos ecosistemas únicos, por sus valores ambientales, en el Distrito Capital. </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22. Desarrollar acciones </w:t>
            </w:r>
            <w:proofErr w:type="gramStart"/>
            <w:r w:rsidRPr="009278EC">
              <w:rPr>
                <w:rFonts w:ascii="Arial" w:hAnsi="Arial" w:cs="Arial"/>
                <w:sz w:val="16"/>
                <w:szCs w:val="16"/>
              </w:rPr>
              <w:t>socio ambientales</w:t>
            </w:r>
            <w:proofErr w:type="gramEnd"/>
            <w:r w:rsidRPr="009278EC">
              <w:rPr>
                <w:rFonts w:ascii="Arial" w:hAnsi="Arial" w:cs="Arial"/>
                <w:sz w:val="16"/>
                <w:szCs w:val="16"/>
              </w:rPr>
              <w:t xml:space="preserve"> para aportar en la recuperacdión ecológica de zonas de alto riesgo no mitigable en las localidades de Rafael Uribe Uribe y Ciudad Bolívar.</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La SDA desarrolla acciones de  manejo socioambiental en 130 hectáreas  en zonas de riesgo no mitigable en  las Localidades de Rafael Uribe Uribe (Nueva Esperanza (42 ha), Los Puentes (2.75 ha) y El Portal II (2 ha) y Ciudad Bolívar (Altos de la Estancia (73,8 ha), Caracolí (5 ha), Bella Flor (1.5 ha) y Brisas del Volador (2.95).  De las cuales son 32.10 ha son nuevas áreas con manejo de acciones socioambientales en el periodo de Bogotá Humana, estas labores incluye recuperación ambiental y paisajística, educación ambiental y mantenimiento de la cobertura vegetal.  Adicionalmente, se actualización del Plan de Manejo Ambiental (PMA) de Altos de la Estancia y se lidera la articulación interinstitucional para el manejo de zonas de alto riesgo no mitigable.</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786 de 2014</w:t>
            </w:r>
            <w:r w:rsidRPr="009278EC">
              <w:rPr>
                <w:rFonts w:ascii="Arial" w:hAnsi="Arial" w:cs="Arial"/>
                <w:sz w:val="16"/>
                <w:szCs w:val="16"/>
              </w:rPr>
              <w:br/>
              <w:t>2. 804 de 2014</w:t>
            </w:r>
            <w:r w:rsidRPr="009278EC">
              <w:rPr>
                <w:rFonts w:ascii="Arial" w:hAnsi="Arial" w:cs="Arial"/>
                <w:sz w:val="16"/>
                <w:szCs w:val="16"/>
              </w:rPr>
              <w:br/>
              <w:t>3. 157 de 2015</w:t>
            </w:r>
            <w:r w:rsidRPr="009278EC">
              <w:rPr>
                <w:rFonts w:ascii="Arial" w:hAnsi="Arial" w:cs="Arial"/>
                <w:sz w:val="16"/>
                <w:szCs w:val="16"/>
              </w:rPr>
              <w:br/>
              <w:t>4. 772 de 2015</w:t>
            </w:r>
            <w:r w:rsidRPr="009278EC">
              <w:rPr>
                <w:rFonts w:ascii="Arial" w:hAnsi="Arial" w:cs="Arial"/>
                <w:sz w:val="16"/>
                <w:szCs w:val="16"/>
              </w:rPr>
              <w:br/>
              <w:t>5. 857 de 2015</w:t>
            </w:r>
            <w:r w:rsidRPr="009278EC">
              <w:rPr>
                <w:rFonts w:ascii="Arial" w:hAnsi="Arial" w:cs="Arial"/>
                <w:sz w:val="16"/>
                <w:szCs w:val="16"/>
              </w:rPr>
              <w:br/>
              <w:t>6. 1344 de 2015</w:t>
            </w:r>
            <w:r w:rsidRPr="009278EC">
              <w:rPr>
                <w:rFonts w:ascii="Arial" w:hAnsi="Arial" w:cs="Arial"/>
                <w:sz w:val="16"/>
                <w:szCs w:val="16"/>
              </w:rPr>
              <w:br/>
              <w:t>7. 1346 de 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Esta actividad guarda relación con los objetivos del PGA "Gestión ambiental de riesgos y desastres" y "Ocupación Armónica y Equilibrada del Territorio", toda vez que con la recuperación de zonas de alto riesgo no mitigable, se busca  contribuir a la ejecución de las acciones destinadas a la prevención de desastres y orientar el uso, la ocupación y la densificación del espacio y del territorio, a la vez que se hace un manejo prudente de las limitaciones del área, con seguridad para los asentamiento. Igualmente guarda coherencia con el objetivo "Conservación y Adecuado Manejo de la Fauna y la Flora" dado que se realizan acciones para la restauración ecológica de las zonas de alto riesgo no mitigable.</w:t>
            </w:r>
            <w:r w:rsidRPr="009278EC">
              <w:rPr>
                <w:rFonts w:ascii="Arial" w:hAnsi="Arial" w:cs="Arial"/>
                <w:sz w:val="16"/>
                <w:szCs w:val="16"/>
              </w:rPr>
              <w:br/>
            </w:r>
            <w:r w:rsidRPr="009278EC">
              <w:rPr>
                <w:rFonts w:ascii="Arial" w:hAnsi="Arial" w:cs="Arial"/>
                <w:sz w:val="16"/>
                <w:szCs w:val="16"/>
              </w:rPr>
              <w:br/>
              <w:t xml:space="preserve">En cuanto a las estrategias, guarda coherencia con la de "Manejo Físico y Ecourbanismo", ya que el desarrollo de la actividad orienta respecto de los criterios ambientales para la transformación del territorio y aporta al manejo integral del riesgo. </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23. Desarrollar acciones interinstitucionales, técnicas y sociales orientadas a la gesti ón de riesgo por incendio forestal.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Se ejecutan de manera permanente tres (3) acciones encaminadas a la prevención y mitigación de incendios forestales, así: </w:t>
            </w:r>
            <w:r w:rsidRPr="009278EC">
              <w:rPr>
                <w:rFonts w:ascii="Arial" w:hAnsi="Arial" w:cs="Arial"/>
                <w:sz w:val="16"/>
                <w:szCs w:val="16"/>
              </w:rPr>
              <w:br/>
            </w:r>
            <w:r w:rsidRPr="009278EC">
              <w:rPr>
                <w:rFonts w:ascii="Arial" w:hAnsi="Arial" w:cs="Arial"/>
                <w:sz w:val="16"/>
                <w:szCs w:val="16"/>
              </w:rPr>
              <w:br/>
              <w:t>1) Presidencia de la Comisión Distrital para la Prevención y Mitigación de Incendios Forestales (CDPMIF).</w:t>
            </w:r>
            <w:r w:rsidRPr="009278EC">
              <w:rPr>
                <w:rFonts w:ascii="Arial" w:hAnsi="Arial" w:cs="Arial"/>
                <w:sz w:val="16"/>
                <w:szCs w:val="16"/>
              </w:rPr>
              <w:br/>
            </w:r>
            <w:r w:rsidRPr="009278EC">
              <w:rPr>
                <w:rFonts w:ascii="Arial" w:hAnsi="Arial" w:cs="Arial"/>
                <w:sz w:val="16"/>
                <w:szCs w:val="16"/>
              </w:rPr>
              <w:lastRenderedPageBreak/>
              <w:br/>
              <w:t>2) Labores de mitigación: Mantenimiento de 40.9 ha controladas de retamo en anteriores oportunidades en: Parque Nacional Enrique Olaya Herrera, Parque El Virrey, La Arboleda, Padres Píos y Mindefensa); control de retamo en 27.05 ha del futuro Parque Metropolitano La Arboleda, Colegio Monseñor Bernardo Sánchez y Parque Nacional); manejo silvicultural  de 18.8 ha de plantación forestal  en Arborizadora Alta y Monseñor Bernardo Sánchez y despeje de 13.75 km  de caminos (en: Parque Nacional, Cerro El Cable y vía a Ubaque). Plantación de 7135 árboles nativos en el futuro parque La Arboleda y 1872 individuos nativos en el Parque Nacional, como parte de la restauración de la zona controlada de retamo.</w:t>
            </w:r>
            <w:r w:rsidRPr="009278EC">
              <w:rPr>
                <w:rFonts w:ascii="Arial" w:hAnsi="Arial" w:cs="Arial"/>
                <w:sz w:val="16"/>
                <w:szCs w:val="16"/>
              </w:rPr>
              <w:br/>
            </w:r>
            <w:r w:rsidRPr="009278EC">
              <w:rPr>
                <w:rFonts w:ascii="Arial" w:hAnsi="Arial" w:cs="Arial"/>
                <w:sz w:val="16"/>
                <w:szCs w:val="16"/>
              </w:rPr>
              <w:br/>
              <w:t>3) Elaboración del "Plan para el control de retamo en Bogotá D.C."; aplicación de la valoración económica y ambiental para determinar los daños causados por incendios forestales de gran magnitud. Participación, como conferencista en capacitaciones brindadas a promotores ambientales, vigías ambientales, operarios y grupos comunitarios.</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850 de 2014</w:t>
            </w:r>
            <w:r w:rsidRPr="009278EC">
              <w:rPr>
                <w:rFonts w:ascii="Arial" w:hAnsi="Arial" w:cs="Arial"/>
                <w:sz w:val="16"/>
                <w:szCs w:val="16"/>
              </w:rPr>
              <w:br/>
              <w:t>2. 851 de 2014</w:t>
            </w:r>
            <w:r w:rsidRPr="009278EC">
              <w:rPr>
                <w:rFonts w:ascii="Arial" w:hAnsi="Arial" w:cs="Arial"/>
                <w:sz w:val="16"/>
                <w:szCs w:val="16"/>
              </w:rPr>
              <w:br/>
              <w:t>3. 1526 de 2014</w:t>
            </w:r>
            <w:r w:rsidRPr="009278EC">
              <w:rPr>
                <w:rFonts w:ascii="Arial" w:hAnsi="Arial" w:cs="Arial"/>
                <w:sz w:val="16"/>
                <w:szCs w:val="16"/>
              </w:rPr>
              <w:br/>
              <w:t>4. 406 de 2015</w:t>
            </w:r>
            <w:r w:rsidRPr="009278EC">
              <w:rPr>
                <w:rFonts w:ascii="Arial" w:hAnsi="Arial" w:cs="Arial"/>
                <w:sz w:val="16"/>
                <w:szCs w:val="16"/>
              </w:rPr>
              <w:br/>
              <w:t>5. 987 de 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Esta actividad guarda relación con los objetivos del PGA "Gestión ambiental de riesgos y desastres" y "Conservación y Adecuado Manejo de la Fauna y la Flora", ya que con la actividad se busca contribuir a la ejecución de las acciones destinadas a la </w:t>
            </w:r>
            <w:r w:rsidRPr="009278EC">
              <w:rPr>
                <w:rFonts w:ascii="Arial" w:hAnsi="Arial" w:cs="Arial"/>
                <w:sz w:val="16"/>
                <w:szCs w:val="16"/>
              </w:rPr>
              <w:lastRenderedPageBreak/>
              <w:t xml:space="preserve">prevención de desastres y emergencias distritales por incendio forestal y aportar a la restauración y preservación de los ecosistemas nativos.  De igual forma, esta actividad guarda coherencia con varias estrategias del PGA, como son: Educación ambiental; Participación; Cooperación y coordinación interinstitucional; Manejo físico y ecourbanismo; esto, por cuanto la actividad se hace en coordinación con otras entidades de la Administración Distrital, vincula a la comunidad, se generan acciones de eduación ambiental relacionadas con la gestión del riesgo por incendio forestal y aporta al manejo integral del riesgo. </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24. Responder a las emergencias ambientales para las cuales se activa a la SDA, por parte de las entidades del SDGR-CC, el NUSE y la comunidad.</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La SDA ha mejorado los tiempos de respuesta en un 94.3% a las emergencias competencia y jurisdicción de la entidad, activadas por parte las entidades del Sistema Distrital de Gestión del Riesgo, el Numero Único de Seguridad y Emergencia -NUSE  y la comunidad a la Secretaría Distrital de Ambiente.</w:t>
            </w:r>
            <w:r w:rsidRPr="009278EC">
              <w:rPr>
                <w:rFonts w:ascii="Arial" w:hAnsi="Arial" w:cs="Arial"/>
                <w:sz w:val="16"/>
                <w:szCs w:val="16"/>
              </w:rPr>
              <w:br/>
              <w:t xml:space="preserve">Los tiempos de respuesta a emergencias ambientales competencia y jurisdicción de la SDA se miden a través de un indicador que finalizó, para el 17 de diciembre de 2015, en 94,3%. </w:t>
            </w:r>
            <w:r w:rsidRPr="009278EC">
              <w:rPr>
                <w:rFonts w:ascii="Arial" w:hAnsi="Arial" w:cs="Arial"/>
                <w:sz w:val="16"/>
                <w:szCs w:val="16"/>
              </w:rPr>
              <w:br/>
              <w:t xml:space="preserve">En 2015 el indicador se comportó de la siguiente manera: enero 100% - febrero 98,4% - a 17 marzo 100% - abril: 100% - mayo: </w:t>
            </w:r>
            <w:r w:rsidRPr="009278EC">
              <w:rPr>
                <w:rFonts w:ascii="Arial" w:hAnsi="Arial" w:cs="Arial"/>
                <w:sz w:val="16"/>
                <w:szCs w:val="16"/>
              </w:rPr>
              <w:lastRenderedPageBreak/>
              <w:t>100% - junio: 100% - julio: 96,3 % - agosto: 100% - septiembre: 100% - octubre: 100% - noviembre: 100% - 17 de diciembre: 100%.</w:t>
            </w:r>
            <w:r w:rsidRPr="009278EC">
              <w:rPr>
                <w:rFonts w:ascii="Arial" w:hAnsi="Arial" w:cs="Arial"/>
                <w:sz w:val="16"/>
                <w:szCs w:val="16"/>
              </w:rPr>
              <w:br/>
              <w:t>En 2015 se recibieron y atendieron 789 emergencias: 786 fueron atendidas oportunamente (en un tiempo máximo de 16 horas) y tres (3) se atendieron por fuera de este rango de tiempo.  Los eventos activados, corresponden a 736 relacionados con árboles en riesgo y/o caídos, 49 incidentes relacionados con materiales peligrosos y 4 incendios forestales.</w:t>
            </w:r>
            <w:r w:rsidRPr="009278EC">
              <w:rPr>
                <w:rFonts w:ascii="Arial" w:hAnsi="Arial" w:cs="Arial"/>
                <w:sz w:val="16"/>
                <w:szCs w:val="16"/>
              </w:rPr>
              <w:br/>
              <w:t>En 2015 se articuló la atención de las emergencias con las entidades del SDGR-CC, así:</w:t>
            </w:r>
            <w:r w:rsidRPr="009278EC">
              <w:rPr>
                <w:rFonts w:ascii="Arial" w:hAnsi="Arial" w:cs="Arial"/>
                <w:sz w:val="16"/>
                <w:szCs w:val="16"/>
              </w:rPr>
              <w:br/>
              <w:t>* ENERO: 50 emergencias, solicitando apoyo a CODENSA, UAESP y EAB-ESP.</w:t>
            </w:r>
            <w:r w:rsidRPr="009278EC">
              <w:rPr>
                <w:rFonts w:ascii="Arial" w:hAnsi="Arial" w:cs="Arial"/>
                <w:sz w:val="16"/>
                <w:szCs w:val="16"/>
              </w:rPr>
              <w:br/>
              <w:t>* FEBRERO: 33 emergencias, solicitando apoyo a CODENSA, UAESP, IDRD y EAB-ESP.</w:t>
            </w:r>
            <w:r w:rsidRPr="009278EC">
              <w:rPr>
                <w:rFonts w:ascii="Arial" w:hAnsi="Arial" w:cs="Arial"/>
                <w:sz w:val="16"/>
                <w:szCs w:val="16"/>
              </w:rPr>
              <w:br/>
              <w:t>* MARZO: 24 emergencias, solicitando apoyo a BOMBEROS Y UAESP.</w:t>
            </w:r>
            <w:r w:rsidRPr="009278EC">
              <w:rPr>
                <w:rFonts w:ascii="Arial" w:hAnsi="Arial" w:cs="Arial"/>
                <w:sz w:val="16"/>
                <w:szCs w:val="16"/>
              </w:rPr>
              <w:br/>
              <w:t>* ABRIL: 44 emergencias, solicitando apoyo a UAESP y EAB-ESP.</w:t>
            </w:r>
            <w:r w:rsidRPr="009278EC">
              <w:rPr>
                <w:rFonts w:ascii="Arial" w:hAnsi="Arial" w:cs="Arial"/>
                <w:sz w:val="16"/>
                <w:szCs w:val="16"/>
              </w:rPr>
              <w:br/>
              <w:t>* MAYO: 14 emergencias, solicitando apoyo a UAESP y EAB-ESP.</w:t>
            </w:r>
            <w:r w:rsidRPr="009278EC">
              <w:rPr>
                <w:rFonts w:ascii="Arial" w:hAnsi="Arial" w:cs="Arial"/>
                <w:sz w:val="16"/>
                <w:szCs w:val="16"/>
              </w:rPr>
              <w:br/>
              <w:t>* JUNIO: 43 emergencias, solicitando apoyo a CODENSA, UAESP y la EAB-ESP.</w:t>
            </w:r>
            <w:r w:rsidRPr="009278EC">
              <w:rPr>
                <w:rFonts w:ascii="Arial" w:hAnsi="Arial" w:cs="Arial"/>
                <w:sz w:val="16"/>
                <w:szCs w:val="16"/>
              </w:rPr>
              <w:br/>
              <w:t>* Julio: 25 emergencias, solicitando apoyo a la UAESP, la EAB-ESP y la SDE.</w:t>
            </w:r>
            <w:r w:rsidRPr="009278EC">
              <w:rPr>
                <w:rFonts w:ascii="Arial" w:hAnsi="Arial" w:cs="Arial"/>
                <w:sz w:val="16"/>
                <w:szCs w:val="16"/>
              </w:rPr>
              <w:br/>
              <w:t>* Agosto: 26 emergencias, solicitando apoyo a la UAESP, la EAB-ESP y la CODENSA.</w:t>
            </w:r>
            <w:r w:rsidRPr="009278EC">
              <w:rPr>
                <w:rFonts w:ascii="Arial" w:hAnsi="Arial" w:cs="Arial"/>
                <w:sz w:val="16"/>
                <w:szCs w:val="16"/>
              </w:rPr>
              <w:br/>
              <w:t>* Septiembre: 44 emergencias, solicitando apoyo a la UAESP, la EAB-ESP, el IDIGER y la CODENSA.</w:t>
            </w:r>
            <w:r w:rsidRPr="009278EC">
              <w:rPr>
                <w:rFonts w:ascii="Arial" w:hAnsi="Arial" w:cs="Arial"/>
                <w:sz w:val="16"/>
                <w:szCs w:val="16"/>
              </w:rPr>
              <w:br/>
              <w:t xml:space="preserve">* Octubre: 35 emergencias, solicitando apoyo a la UAESP y a la </w:t>
            </w:r>
            <w:r w:rsidRPr="009278EC">
              <w:rPr>
                <w:rFonts w:ascii="Arial" w:hAnsi="Arial" w:cs="Arial"/>
                <w:sz w:val="16"/>
                <w:szCs w:val="16"/>
              </w:rPr>
              <w:lastRenderedPageBreak/>
              <w:t>EAB-ESP.</w:t>
            </w:r>
            <w:r w:rsidRPr="009278EC">
              <w:rPr>
                <w:rFonts w:ascii="Arial" w:hAnsi="Arial" w:cs="Arial"/>
                <w:sz w:val="16"/>
                <w:szCs w:val="16"/>
              </w:rPr>
              <w:br/>
              <w:t>* Noviembre: 33 emergencias, solicitando apoyo a la UAESP, a CODENSA y a la EAB-ESP.</w:t>
            </w:r>
            <w:r w:rsidRPr="009278EC">
              <w:rPr>
                <w:rFonts w:ascii="Arial" w:hAnsi="Arial" w:cs="Arial"/>
                <w:sz w:val="16"/>
                <w:szCs w:val="16"/>
              </w:rPr>
              <w:br/>
              <w:t>* 17 Diciembre: 12 emergencias, solicitando apoyo a la UAESP y a la EAB-ESP.</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369 de 2014</w:t>
            </w:r>
            <w:r w:rsidRPr="009278EC">
              <w:rPr>
                <w:rFonts w:ascii="Arial" w:hAnsi="Arial" w:cs="Arial"/>
                <w:sz w:val="16"/>
                <w:szCs w:val="16"/>
              </w:rPr>
              <w:br/>
              <w:t>2. 723 de 2014</w:t>
            </w:r>
            <w:r w:rsidRPr="009278EC">
              <w:rPr>
                <w:rFonts w:ascii="Arial" w:hAnsi="Arial" w:cs="Arial"/>
                <w:sz w:val="16"/>
                <w:szCs w:val="16"/>
              </w:rPr>
              <w:br/>
              <w:t>3. 767 de 2014</w:t>
            </w:r>
            <w:r w:rsidRPr="009278EC">
              <w:rPr>
                <w:rFonts w:ascii="Arial" w:hAnsi="Arial" w:cs="Arial"/>
                <w:sz w:val="16"/>
                <w:szCs w:val="16"/>
              </w:rPr>
              <w:br/>
              <w:t>4. 768 de 2014</w:t>
            </w:r>
            <w:r w:rsidRPr="009278EC">
              <w:rPr>
                <w:rFonts w:ascii="Arial" w:hAnsi="Arial" w:cs="Arial"/>
                <w:sz w:val="16"/>
                <w:szCs w:val="16"/>
              </w:rPr>
              <w:br/>
              <w:t>5. 855 de 2014</w:t>
            </w:r>
            <w:r w:rsidRPr="009278EC">
              <w:rPr>
                <w:rFonts w:ascii="Arial" w:hAnsi="Arial" w:cs="Arial"/>
                <w:sz w:val="16"/>
                <w:szCs w:val="16"/>
              </w:rPr>
              <w:br/>
              <w:t>6. 1469 de 2014</w:t>
            </w:r>
            <w:r w:rsidRPr="009278EC">
              <w:rPr>
                <w:rFonts w:ascii="Arial" w:hAnsi="Arial" w:cs="Arial"/>
                <w:sz w:val="16"/>
                <w:szCs w:val="16"/>
              </w:rPr>
              <w:br/>
              <w:t>7. 1476 de 2014</w:t>
            </w:r>
            <w:r w:rsidRPr="009278EC">
              <w:rPr>
                <w:rFonts w:ascii="Arial" w:hAnsi="Arial" w:cs="Arial"/>
                <w:sz w:val="16"/>
                <w:szCs w:val="16"/>
              </w:rPr>
              <w:br/>
              <w:t>8. 581 de 2015</w:t>
            </w:r>
            <w:r w:rsidRPr="009278EC">
              <w:rPr>
                <w:rFonts w:ascii="Arial" w:hAnsi="Arial" w:cs="Arial"/>
                <w:sz w:val="16"/>
                <w:szCs w:val="16"/>
              </w:rPr>
              <w:br/>
              <w:t>9. 612 de 2015</w:t>
            </w:r>
            <w:r w:rsidRPr="009278EC">
              <w:rPr>
                <w:rFonts w:ascii="Arial" w:hAnsi="Arial" w:cs="Arial"/>
                <w:sz w:val="16"/>
                <w:szCs w:val="16"/>
              </w:rPr>
              <w:br/>
              <w:t>10. 613 de 2015</w:t>
            </w:r>
            <w:r w:rsidRPr="009278EC">
              <w:rPr>
                <w:rFonts w:ascii="Arial" w:hAnsi="Arial" w:cs="Arial"/>
                <w:sz w:val="16"/>
                <w:szCs w:val="16"/>
              </w:rPr>
              <w:br/>
            </w:r>
            <w:r w:rsidRPr="009278EC">
              <w:rPr>
                <w:rFonts w:ascii="Arial" w:hAnsi="Arial" w:cs="Arial"/>
                <w:sz w:val="16"/>
                <w:szCs w:val="16"/>
              </w:rPr>
              <w:lastRenderedPageBreak/>
              <w:t>11. 769 de 2015</w:t>
            </w:r>
            <w:r w:rsidRPr="009278EC">
              <w:rPr>
                <w:rFonts w:ascii="Arial" w:hAnsi="Arial" w:cs="Arial"/>
                <w:sz w:val="16"/>
                <w:szCs w:val="16"/>
              </w:rPr>
              <w:br/>
              <w:t>12. 945 de 2015</w:t>
            </w:r>
            <w:r w:rsidRPr="009278EC">
              <w:rPr>
                <w:rFonts w:ascii="Arial" w:hAnsi="Arial" w:cs="Arial"/>
                <w:sz w:val="16"/>
                <w:szCs w:val="16"/>
              </w:rPr>
              <w:br/>
              <w:t>13. 977 de 2015</w:t>
            </w:r>
          </w:p>
        </w:tc>
        <w:tc>
          <w:tcPr>
            <w:tcW w:w="3480"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lastRenderedPageBreak/>
              <w:t>Esta actividad guarda relación con el objetivo del PGA "Gestión ambiental de riesgos y desastres</w:t>
            </w:r>
            <w:proofErr w:type="gramStart"/>
            <w:r w:rsidRPr="009278EC">
              <w:rPr>
                <w:rFonts w:ascii="Arial" w:hAnsi="Arial" w:cs="Arial"/>
                <w:sz w:val="16"/>
                <w:szCs w:val="16"/>
              </w:rPr>
              <w:t>" ,</w:t>
            </w:r>
            <w:proofErr w:type="gramEnd"/>
            <w:r w:rsidRPr="009278EC">
              <w:rPr>
                <w:rFonts w:ascii="Arial" w:hAnsi="Arial" w:cs="Arial"/>
                <w:sz w:val="16"/>
                <w:szCs w:val="16"/>
              </w:rPr>
              <w:t xml:space="preserve"> ya que con la actividad se busca contribuir a la ejecución de las acciones destinadas a la prevención y atención de desastres y emergencias distritales.  A su vez, la actividad guarda coherencia con la estrategia Cooperación y coordinación interinstitucional, ya que se hace gestión ambiental mediante la unión y la visibilización </w:t>
            </w:r>
            <w:r w:rsidRPr="009278EC">
              <w:rPr>
                <w:rFonts w:ascii="Arial" w:hAnsi="Arial" w:cs="Arial"/>
                <w:sz w:val="16"/>
                <w:szCs w:val="16"/>
              </w:rPr>
              <w:lastRenderedPageBreak/>
              <w:t xml:space="preserve">de los esfuerzos y recursos, con el fin de prevenir y atender emergencias competencia y jurisdicción de la SDA. </w:t>
            </w:r>
            <w:r w:rsidRPr="009278EC">
              <w:rPr>
                <w:rFonts w:ascii="Arial" w:hAnsi="Arial" w:cs="Arial"/>
                <w:sz w:val="16"/>
                <w:szCs w:val="16"/>
              </w:rPr>
              <w:br/>
            </w:r>
            <w:r w:rsidRPr="009278EC">
              <w:rPr>
                <w:rFonts w:ascii="Arial" w:hAnsi="Arial" w:cs="Arial"/>
                <w:sz w:val="16"/>
                <w:szCs w:val="16"/>
              </w:rPr>
              <w:br/>
              <w:t>Igualmente se relaciona con el objetivo "Conservación y Adecuado Manejo de la Fauna y la Flora" teniendo en cuenta que desde el PIRE la Entidad atiende las emergencias ocasionadas por árboles caídos o en riesgo de caída  y con la estrategia "Manejo Físico y Ecourbanismo"  en tanto el PIRE aporta al manejo integral del riesgo, que es algo que comprende dicha estrategia.</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 xml:space="preserve">29. Implementar y hacer seguimiento a la herramienta de registro (fichas descriptivas) de los instrumentos de gestión ambiental </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Se ha avanzado en el ajuste de las fichas de seguimiento a los instrumentos de gestión ambiental, el cual es el componente principal del sistema de seguimiento a la implementación de los mismos con el fin de generar las alertas necesarias para su ejecución.</w:t>
            </w:r>
            <w:r w:rsidRPr="009278EC">
              <w:rPr>
                <w:rFonts w:ascii="Arial" w:hAnsi="Arial" w:cs="Arial"/>
                <w:sz w:val="16"/>
                <w:szCs w:val="16"/>
              </w:rPr>
              <w:br/>
              <w:t xml:space="preserve">PIGA: La herramienta ha permitido conocer la trazabilidad de las acciones en las diferentes fases que contiene el instrumento como son: la formulación, implementación, evaluación y seguimiento. Esta herramienta nos ha mostrado un avance a través del tiempo en materia ambiental concerniente a las entidades del distrito capital y algunas de carácter voluntario de orden nacional. Genera alertas para ir evolucionando en temas como: la calidad de la información que debe reportar cada entidad del distrito, oportunidad en la entrega en cuanto a visitas de control y el enfoque y direccionamiento hacia las acciones de gestión que arrojen resultados tangibles en el desempeño ambiental de las entidades del distrito. </w:t>
            </w:r>
            <w:r w:rsidRPr="009278EC">
              <w:rPr>
                <w:rFonts w:ascii="Arial" w:hAnsi="Arial" w:cs="Arial"/>
                <w:sz w:val="16"/>
                <w:szCs w:val="16"/>
              </w:rPr>
              <w:br/>
              <w:t>PACA: Permite la trazabilidad en las diferentes fases que tiene el instrumento como son la formulación, implementación, evaluación y seguimiento frente al desarrollo del instrumento a nivel del distrito.</w:t>
            </w:r>
            <w:r w:rsidRPr="009278EC">
              <w:rPr>
                <w:rFonts w:ascii="Arial" w:hAnsi="Arial" w:cs="Arial"/>
                <w:sz w:val="16"/>
                <w:szCs w:val="16"/>
              </w:rPr>
              <w:br/>
              <w:t xml:space="preserve">DEPARTAMENTOS DE GESTIÓN AMBIENTAL: Se continua con el ajuste de la ficha de reporte trimestral con los profesionales de la SEGAE, de acuerdo al consolidado de la base de datos </w:t>
            </w:r>
            <w:r w:rsidRPr="009278EC">
              <w:rPr>
                <w:rFonts w:ascii="Arial" w:hAnsi="Arial" w:cs="Arial"/>
                <w:sz w:val="16"/>
                <w:szCs w:val="16"/>
              </w:rPr>
              <w:lastRenderedPageBreak/>
              <w:t>registrada de la SEGAE que nos sirva como herramienta y apoyo en el reporte de radicados recibidos, atendidos, cuantas industrias registran nuevas a la SDA. Se solicitó la inclusión del Formato de Solicitud DGA a la plataforma de la SDA-Atención al Ciudadano.</w:t>
            </w:r>
            <w:r w:rsidRPr="009278EC">
              <w:rPr>
                <w:rFonts w:ascii="Arial" w:hAnsi="Arial" w:cs="Arial"/>
                <w:sz w:val="16"/>
                <w:szCs w:val="16"/>
              </w:rPr>
              <w:br/>
              <w:t>CECA: Se continua con el ajuste a la ficha de reporte mensual  de este instrumento que  registra el las solicitudes, las visitas y los certificados expedidos en los predios ubicados total o parcialmente dentro del Sistema de Áreas Protegidas del Distrito Capital.</w:t>
            </w:r>
            <w:r w:rsidRPr="009278EC">
              <w:rPr>
                <w:rFonts w:ascii="Arial" w:hAnsi="Arial" w:cs="Arial"/>
                <w:sz w:val="16"/>
                <w:szCs w:val="16"/>
              </w:rPr>
              <w:br/>
              <w:t xml:space="preserve">PLAN DECENAL DE DESCONTAMINACIÓN DEL AIRE PARA BOGOTA: Se realizó la revisión del instrumento, ajustando la ficha de seguimiento que incluye todas acciones definidas en el plan de acción. Esta ficha ajustada fue socializada al interior de la Entidad, específicamente la SCAAV, para validar el seguimiento y la trazabilidad de las acciones. </w:t>
            </w:r>
            <w:r w:rsidRPr="009278EC">
              <w:rPr>
                <w:rFonts w:ascii="Arial" w:hAnsi="Arial" w:cs="Arial"/>
                <w:sz w:val="16"/>
                <w:szCs w:val="16"/>
              </w:rPr>
              <w:br/>
              <w:t>PROGRAMA DE ECOCONDUCCION: Se realizó la revisión de los formatos reporte consumo de combustible para ajustarlo con la participación de grupo PIGA de la SPPA y así poder genera una alerta en los reportes.</w:t>
            </w:r>
            <w:r w:rsidRPr="009278EC">
              <w:rPr>
                <w:rFonts w:ascii="Arial" w:hAnsi="Arial" w:cs="Arial"/>
                <w:sz w:val="16"/>
                <w:szCs w:val="16"/>
              </w:rPr>
              <w:br/>
              <w:t>CAMBIO CLIMÁTICO: Se ajustó la ficha de seguimiento a la resolución 6524 de 2011, donde se establecen las actividades que se ejecutan al interior de la entidad por parte de la DPSIA, OPEL y DGA que conforman el GICC en cuanto a la formulación, socialización y divulgación del Plan Distrital de Adaptación y Mitigación a la Vulnerabilidad al Cambio Climático. Así mismo con la participación de diferentes entidades públicas y la SDA se ejecutó el lanzamiento de la Campaña de Cambio Climático la cual continúe una agenda extensa que se ha venido desarrollando con el fin de mostrar la participación y el conocimiento del cambio climático.</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0766/2015</w:t>
            </w:r>
            <w:r w:rsidRPr="009278EC">
              <w:rPr>
                <w:rFonts w:ascii="Arial" w:hAnsi="Arial" w:cs="Arial"/>
                <w:sz w:val="16"/>
                <w:szCs w:val="16"/>
              </w:rPr>
              <w:br/>
              <w:t>2. 1069/2015</w:t>
            </w:r>
          </w:p>
        </w:tc>
        <w:tc>
          <w:tcPr>
            <w:tcW w:w="3480" w:type="dxa"/>
            <w:noWrap/>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Esta actividad guarda relación con el objetivo "Conservación y Adecuado Manejo de la Fauna y la Flora" y con la estrategia "Manejo Físico y Ecourbanismo". La elaboración de un sistema de seguimiento a la implementación de los instrumentos de gestión ambiental,  permite acompañar y orientar a diferentes entidades distritales y a las comunidades para el aprovechamiento del territorio y de los recursos naturales de manera sostenible, así como para la conservación de la biodiversidad.  El contrato 1069/2015 se asocia a todas las actividades relacionadas con la meta</w:t>
            </w:r>
          </w:p>
        </w:tc>
      </w:tr>
      <w:tr w:rsidR="009278EC" w:rsidRPr="009278EC" w:rsidTr="009278EC">
        <w:trPr>
          <w:trHeight w:val="1002"/>
        </w:trPr>
        <w:tc>
          <w:tcPr>
            <w:tcW w:w="1221" w:type="dxa"/>
            <w:vMerge/>
            <w:hideMark/>
          </w:tcPr>
          <w:p w:rsidR="009278EC" w:rsidRPr="009278EC" w:rsidRDefault="009278EC" w:rsidP="009278EC">
            <w:pPr>
              <w:jc w:val="both"/>
              <w:rPr>
                <w:rFonts w:ascii="Arial" w:hAnsi="Arial" w:cs="Arial"/>
                <w:sz w:val="16"/>
                <w:szCs w:val="16"/>
              </w:rPr>
            </w:pPr>
          </w:p>
        </w:tc>
        <w:tc>
          <w:tcPr>
            <w:tcW w:w="1337" w:type="dxa"/>
            <w:vMerge/>
            <w:hideMark/>
          </w:tcPr>
          <w:p w:rsidR="009278EC" w:rsidRPr="009278EC" w:rsidRDefault="009278EC" w:rsidP="009278EC">
            <w:pPr>
              <w:jc w:val="both"/>
              <w:rPr>
                <w:rFonts w:ascii="Arial" w:hAnsi="Arial" w:cs="Arial"/>
                <w:sz w:val="16"/>
                <w:szCs w:val="16"/>
              </w:rPr>
            </w:pPr>
          </w:p>
        </w:tc>
        <w:tc>
          <w:tcPr>
            <w:tcW w:w="1942"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31. Adelantar acciones de coordinación con las diferentes dependencias de la SDA para apoyar la formulación y la implementación de los diferentes instrumentos de gestión: 1) Departamentos de Gestión Ambiental, 2) Plan Distrital y Adaptación Cambio Climático, 3) Plan Distrital de silvicultura urbana, 4) Plan Decenal en fuentes moviles y fijas en desarrollo al Plan de Descontaminación de Aire, 5) Plan Institucional de Gestión Ambiental a nivel Distrital y 6) Plan de Accion Cuatrienal Ambiental PACA a nivel de la SDA y 7) Certificados del Estado de Conservación Ambiental</w:t>
            </w:r>
          </w:p>
        </w:tc>
        <w:tc>
          <w:tcPr>
            <w:tcW w:w="4851" w:type="dxa"/>
            <w:hideMark/>
          </w:tcPr>
          <w:p w:rsidR="009278EC" w:rsidRPr="009278EC" w:rsidRDefault="009278EC" w:rsidP="009278EC">
            <w:pPr>
              <w:jc w:val="both"/>
              <w:rPr>
                <w:rFonts w:ascii="Arial" w:hAnsi="Arial" w:cs="Arial"/>
                <w:sz w:val="16"/>
                <w:szCs w:val="16"/>
              </w:rPr>
            </w:pPr>
            <w:r w:rsidRPr="009278EC">
              <w:rPr>
                <w:rFonts w:ascii="Arial" w:hAnsi="Arial" w:cs="Arial"/>
                <w:b/>
                <w:bCs/>
                <w:sz w:val="16"/>
                <w:szCs w:val="16"/>
              </w:rPr>
              <w:t xml:space="preserve">Departamentos de Gestión Ambiental-DGA´S: </w:t>
            </w:r>
            <w:r w:rsidRPr="009278EC">
              <w:rPr>
                <w:rFonts w:ascii="Arial" w:hAnsi="Arial" w:cs="Arial"/>
                <w:sz w:val="16"/>
                <w:szCs w:val="16"/>
              </w:rPr>
              <w:br/>
              <w:t>Se realizaron reuniones durante el año, con los responsables de la implementación del instrumento, para verificar avances, consecución de base de datos y programar acciones en el primer y segundo trimestre 2015. Tema de revisión primer trimestre: Base de datos enviado por la Secretaria de salud. Realización de seguimiento-acompañamiento con el fin de revisar el formato solicitud de los DGA. Tema: La no inclusión del Formato de Solicitud DGA a la plataforma de la SDA, Atención al Ciudadano. Durante el segundo trimestre se avanzó con el ajuste de la ficha de reporte trimestral con los profesionales de la SEGAE y se esperaba hacer un vínculo de esta información con un tablero de control que actualmente se está diseñando y que permitirá visualizar de manera sencilla los avances en la implementación del instrumento. Se logró mediante memorando interno de la Dirección de Gestión Ambiental para que se asignara un profesional de la DPSIA para realizar a través de la ventanilla virtual de la entidad el trámite de informe de conformación de los DGAs, una vez aprobado el trámite de conformación de DGA quedaría por definir la fecha para su habilitación al público, dentro del marco del sistema de Gestión Ambiental; por parte de las organizaciones obligadas en cumplimiento del capítulo 11 del decreto 1076 del 2015, (antes Decreto 1299 el 2008). Actualmente se está realizando el ajuste del procedimiento.</w:t>
            </w:r>
            <w:r w:rsidRPr="009278EC">
              <w:rPr>
                <w:rFonts w:ascii="Arial" w:hAnsi="Arial" w:cs="Arial"/>
                <w:sz w:val="16"/>
                <w:szCs w:val="16"/>
              </w:rPr>
              <w:br/>
            </w:r>
            <w:r w:rsidRPr="009278EC">
              <w:rPr>
                <w:rFonts w:ascii="Arial" w:hAnsi="Arial" w:cs="Arial"/>
                <w:b/>
                <w:bCs/>
                <w:sz w:val="16"/>
                <w:szCs w:val="16"/>
              </w:rPr>
              <w:t xml:space="preserve">Plan Distrital de Adaptación y Mitigación al Cambio Climático-PDAMVCC: </w:t>
            </w:r>
            <w:r w:rsidRPr="009278EC">
              <w:rPr>
                <w:rFonts w:ascii="Arial" w:hAnsi="Arial" w:cs="Arial"/>
                <w:sz w:val="16"/>
                <w:szCs w:val="16"/>
              </w:rPr>
              <w:br/>
              <w:t xml:space="preserve">Para este instrumento se realizaron diversas acciones en el 2015 (Relacionadas con el Plan y el Grupo Interno de Cambio Climático). Acompañamiento permanente a la formulación del PDMAVCC. Apoyo entre marzo y septiembre al desarrollo de la </w:t>
            </w:r>
            <w:r w:rsidRPr="009278EC">
              <w:rPr>
                <w:rFonts w:ascii="Arial" w:hAnsi="Arial" w:cs="Arial"/>
                <w:sz w:val="16"/>
                <w:szCs w:val="16"/>
              </w:rPr>
              <w:lastRenderedPageBreak/>
              <w:t xml:space="preserve">Campaña Distrital de prevención del Cambio Climático: Cinco reuniones y planeación-realización de un taller para la campaña. Generación de cuatro (4) Boletines cambio climático. Apagones Ambientales en total durante el año Seis (6): febrero- localidad de Engativa, marzo localidad de Fontibón con 170 asistentes aproximadamente. En abril- localidad Usme, mayo - localidad Bosa y junio –localidad Chapinero, con total de 180 asistentes. En Septiembre en Localidad de Teusaquillo y diciembre –localidad de Antonio Nariño, con promedio de 200 asistentes. Se apoyó un proceso de capacitación en todos los humedales con el programa “Alma de los Humedales” durante el segundo semestre de 2015. Las anteriores acciones como procesos de adaptación al cambio climático. Desde la DGA se ofrecieron charlas sobre conceptos de cambio climático a entidades interesadas en el tema. En mayo se convocó al Grupo Interno de Cambio Climático-GICC de la SDA, con el fin de divulgar avances y recibir observaciones al proceso de formulación. Desde marzo mensualmente, se apoyó la planeación y realización del evento: Encuentro de las Américas frente al Cambio Climático (septiembre 2015). Desde la DGA, se planearon y realizaron dos eventos relacionados con procesos de conservación de espacios del agua. Nombre de eventos: Justicia Climática y Agua y Ciudades con participación aproximada de 200 personas. En septiembre se lanzó el PDMAVCC. El plan se presentó en el Consejo Distrital de Gestión del Riesgo y Cambio Climático y a partir de una última reunión de noviembre, se decidió que se unificarían los planes de Gestión del Riesgo, Cambio Climático y Sistema sostenible de drenaje en uno solo. Dicho trabajo se adelantó con la coordinación de Gustavo Carrión con la participación del personal de IDIGER. Producto de este trabajo se realizaron las versiones unificadas de un Documento Técnico de </w:t>
            </w:r>
            <w:r w:rsidRPr="009278EC">
              <w:rPr>
                <w:rFonts w:ascii="Arial" w:hAnsi="Arial" w:cs="Arial"/>
                <w:sz w:val="16"/>
                <w:szCs w:val="16"/>
              </w:rPr>
              <w:lastRenderedPageBreak/>
              <w:t>Soporte, un (1) solo plan y un decreto de adopción. El plan se presentó en la última reunión del Consejo el viernes 11 de diciembre.</w:t>
            </w:r>
            <w:r w:rsidRPr="009278EC">
              <w:rPr>
                <w:rFonts w:ascii="Arial" w:hAnsi="Arial" w:cs="Arial"/>
                <w:sz w:val="16"/>
                <w:szCs w:val="16"/>
              </w:rPr>
              <w:br/>
            </w:r>
            <w:r w:rsidRPr="009278EC">
              <w:rPr>
                <w:rFonts w:ascii="Arial" w:hAnsi="Arial" w:cs="Arial"/>
                <w:b/>
                <w:bCs/>
                <w:sz w:val="16"/>
                <w:szCs w:val="16"/>
              </w:rPr>
              <w:t xml:space="preserve">Plan Distrital de Silvicultura y Arbolado Urbano: </w:t>
            </w:r>
            <w:r w:rsidRPr="009278EC">
              <w:rPr>
                <w:rFonts w:ascii="Arial" w:hAnsi="Arial" w:cs="Arial"/>
                <w:sz w:val="16"/>
                <w:szCs w:val="16"/>
              </w:rPr>
              <w:br/>
              <w:t xml:space="preserve">Durante el 2015 se realizó al menos una (1) reunión mensual con la mesa de arbolado, con el fin de apoyar la formulación del Plan desde la DGA. En el segundo trimestre, se finalizó la ficha de registro de datos para el sistema de seguimiento. Se ha venido consolidando esta información en esta ficha teniendo en cuenta las actividades de acompañamiento al proceso de formulación del Plan. Con el apoyo de la DGA la Subdirección de Planes y Proyectos Ambientales-SPPA- participó en el proceso de formulación durante el segundo semestre de 2015. Se generó un documento técnico que ha sido revisado y a la fecha está a la espera de aprobación. </w:t>
            </w:r>
            <w:r w:rsidRPr="009278EC">
              <w:rPr>
                <w:rFonts w:ascii="Arial" w:hAnsi="Arial" w:cs="Arial"/>
                <w:sz w:val="16"/>
                <w:szCs w:val="16"/>
              </w:rPr>
              <w:br/>
            </w:r>
            <w:r w:rsidRPr="009278EC">
              <w:rPr>
                <w:rFonts w:ascii="Arial" w:hAnsi="Arial" w:cs="Arial"/>
                <w:b/>
                <w:bCs/>
                <w:sz w:val="16"/>
                <w:szCs w:val="16"/>
              </w:rPr>
              <w:t>Plan Decenal de Descontaminación de Aire (PDDA):</w:t>
            </w:r>
            <w:r w:rsidRPr="009278EC">
              <w:rPr>
                <w:rFonts w:ascii="Arial" w:hAnsi="Arial" w:cs="Arial"/>
                <w:sz w:val="16"/>
                <w:szCs w:val="16"/>
              </w:rPr>
              <w:t xml:space="preserve"> </w:t>
            </w:r>
            <w:r w:rsidRPr="009278EC">
              <w:rPr>
                <w:rFonts w:ascii="Arial" w:hAnsi="Arial" w:cs="Arial"/>
                <w:sz w:val="16"/>
                <w:szCs w:val="16"/>
              </w:rPr>
              <w:br/>
              <w:t xml:space="preserve">Actividad-Implementar y hacer seguimiento a la herramienta de registro (fichas descriptivas) de los instrumentos de gestión ambiental. Durante el primer trimestre del año las principales acciones que se desarrollaron fue la revisión de información relacionada con el PDDAB como fue lectura general del documento Plan decenal de Descontaminación del Aire para Bogotá (PDDAB), Adicionalmente se revisa la información de ficha de seguimiento anterior y los informes que se venían desarrollando. Con base en esta información se establece que es necesario realizar un ajuste a la anterior ficha de seguimiento por lo cual para el segundo trimestre y con base en esta información se procedió a ajustar la ficha de acuerdo a lo que contempla dicho documento. Para el segundo trimestre y después de haber realizado varias reuniones (5) se aprueba preliminarmente la ficha </w:t>
            </w:r>
            <w:r w:rsidRPr="009278EC">
              <w:rPr>
                <w:rFonts w:ascii="Arial" w:hAnsi="Arial" w:cs="Arial"/>
                <w:sz w:val="16"/>
                <w:szCs w:val="16"/>
              </w:rPr>
              <w:lastRenderedPageBreak/>
              <w:t xml:space="preserve">la ficha del PDDAB esto de común acuerdo con el coordinador del Plan y la responsable de diligenciar la información en la misma, estableciendo de manera general que esta debe ser ajustada de acuerdo a las acciones proyectadas en el Plan operativo anual y considerando diversas circunstancias ajenas a la entidad para la ejecución de diferentes acciones establecidas en el Plan. Para el tercer trimestre se termina de consolidar la ficha después de otras reuniones realizadas (2) entre la DGA y la SCAAV quedando definida con todos los criterios de calificación y seguimiento a las acciones planteadas en los planes operativos anuales relacionados con el PDDAB. Adicionalmente a la aprobación definitiva de la ficha se elaborara un instructivo de diligenciamiento y un informe consolidado de seguimiento al plan el cual es enviado a la SCAAV para su conocimiento y fines pertinentes. Se realiza entrega del instructivo de diligenciamiento para que este sea socializado con los demás responsables de implementar el PDDAB. Con base en lo anterior y según información reportada en la ficha, se procede a realizar el informe general el cual es enviado a la SCAAV para su conocimiento y se implementen acciones de mejora en caso de ser necesario. Para el cuarto trimestre se solicita la actualización de la información en la ficha y se elabora el informe definitivo de la vigencia 2015 el cual será enviado en el mes de enero a la respectiva dependencia para su conocimiento y fines pertinentes. Como observación general se tiene que se logró consolidar una herramienta de seguimiento o registro para el plan decenal de descontaminación del aire la cual servirá como un Instrumento que al ser debida y totalmente diligenciado es un importante insumo que alimenta y puede soportar las respuestas o requerimientos a entes de control, así como para la toma de decisiones. Esta Herramienta </w:t>
            </w:r>
            <w:r w:rsidRPr="009278EC">
              <w:rPr>
                <w:rFonts w:ascii="Arial" w:hAnsi="Arial" w:cs="Arial"/>
                <w:sz w:val="16"/>
                <w:szCs w:val="16"/>
              </w:rPr>
              <w:lastRenderedPageBreak/>
              <w:t>podrá ser ajustada de acuerdo a los cambios que se puedan surtir con respecto a Plan. Actividad-Adelantar acciones de coordinación con las diferentes dependencias de la SDA para apoyar la formulación y la implementación de los diferentes instrumentos de gestión: De acuerdo al lo solicitado por parte de la SCAAV en las diferentes reuniones de trabajo realizadas durante la vigencia 2015 se apoyó en la ejecución de las diferentes actividades.  a. Se realizó análisis de la información fuente móvil reportada en el formato Storm elaboración. b. Elaboración del informe consumo de combustible entidades distritales. c. Se apoyó y asistió a la capacitación en buenas prácticas de conducción.</w:t>
            </w:r>
            <w:r w:rsidRPr="009278EC">
              <w:rPr>
                <w:rFonts w:ascii="Arial" w:hAnsi="Arial" w:cs="Arial"/>
                <w:sz w:val="16"/>
                <w:szCs w:val="16"/>
              </w:rPr>
              <w:br/>
            </w:r>
            <w:r w:rsidRPr="009278EC">
              <w:rPr>
                <w:rFonts w:ascii="Arial" w:hAnsi="Arial" w:cs="Arial"/>
                <w:b/>
                <w:bCs/>
                <w:sz w:val="16"/>
                <w:szCs w:val="16"/>
              </w:rPr>
              <w:t>Plan Institucional de Gestión Ambiental-PIGA:</w:t>
            </w:r>
            <w:r w:rsidRPr="009278EC">
              <w:rPr>
                <w:rFonts w:ascii="Arial" w:hAnsi="Arial" w:cs="Arial"/>
                <w:sz w:val="16"/>
                <w:szCs w:val="16"/>
              </w:rPr>
              <w:br/>
              <w:t>Se culminó proceso acompañamiento técnico-2014. Entidades Distritales (metodología de riesgos ambientales). Jornadas días 17 y 18 de febrero y 11 de marzo. Participación: 106 personas. Socialización normativa aplicable relacionada. Se realizó taller práctico con asistentes. Se orientó: Identificación, valoración y controles a los riesgos ambientales. Evento de cierre de ciclo acompañamiento del PIGA-2014. Reconocimiento Institucional a la Gestión Ambiental Pública-RIGAP. Galardón otorgado a 12 entidades. Reconocimiento 14 entidades con desempeño alto entre 80 al 85 % mediante certificación. Certificación a  48 entidades con una asistencia al ciclo de acompañamiento  mayor al 80%. Se realizaron reuniones conjunta entre la DGA, SCASP y SPPA con el fin de unificar criterios para desarrollar la planeación, implementación y seguimiento de los planes institucionales de gestión PIGA-2015. Se presentó al SPPA, SCASP, y el grupo de Instrumentos de la DGA,  propuesta metodológica de acompañamiento a la implementación a desarrollarse por la DGA-</w:t>
            </w:r>
            <w:r w:rsidRPr="009278EC">
              <w:rPr>
                <w:rFonts w:ascii="Arial" w:hAnsi="Arial" w:cs="Arial"/>
                <w:sz w:val="16"/>
                <w:szCs w:val="16"/>
              </w:rPr>
              <w:lastRenderedPageBreak/>
              <w:t xml:space="preserve">2015. PIGA Interno: Acompañamiento en el reporte del informe de verificación, correspondiente a la vigencia 2014. Apoyo DGA-Auditoría externa re certificación subsistema gestión ambiental. Revisión de informes de las entidades distritales realizados por SCASP-Definición de temáticas de refuerzo para el PIGA tales como: matriz normativa, plan de acción, identificación y valoración de aspectos e impactos ambientales, residuos peligrosos, especiales, riesgos ambientales, publicidad exterior visual, vertimientos, entre otros. Definición de estrategia de acompañamiento al PIGA basado en mesas de trabajo. Realización de 21 mesas de trabajo PIGA con entidades priorizadas según visitas programadas por SCASP para el 2015; mesas realizadas los días Mayo 11,12, 14, 19, 21 y 28, y Junio 11, 12, 16, 18, 23, 25 y 30, julio 2, 14, 16 y 30, en septiembre 1, octubre 19, noviembre 5, diciembre 16, con entidades del Distrito. Se direccionaron requerimientos de las entidades a las diferentes dependencias de la SDA, relacionados con trámites de PEV, Vertimientos, RCD, Eco conducción, entre otros. Se realizó reunión interna con los grupos de Residuos Peligrosos y hospitalarios, PIGA SCASP, PIGA –SPPA – RCD, para unificar criterios y la exigilidad de la norma y las inquietudes resultantes de las entidades. Durante el tercer trimestre se comunicó a la Subdirección de Planes y Políticas Ambientales sobre el reporte y calidad del dato frente a la información reportada por las entidades públicas en storm user. Se realizó la revisión para los componentes de agua y energía y se informó a la dependencia sobre la necesidad de generar una línea base con la información depurada. Por otra parte,  se continuó con la revisión de la información de las comunidades en el portal SIAC y de esta manera contar con la trazabilidad de la información generada </w:t>
            </w:r>
            <w:r w:rsidRPr="009278EC">
              <w:rPr>
                <w:rFonts w:ascii="Arial" w:hAnsi="Arial" w:cs="Arial"/>
                <w:sz w:val="16"/>
                <w:szCs w:val="16"/>
              </w:rPr>
              <w:lastRenderedPageBreak/>
              <w:t>desde la SDA hacia las entidades. Como aspecto importante en las actividades de implementación de este instrumento es que se ve reflejada en los resultados en la implementación del PIGA obtenidos por las entidades del Distrito quedando así: 53% en rango alto, 18% en rango medio alto, 20% en rango medio y finalmente 9% rango bajo. El mejoramiento en la gestión ambiental es considerable por parte de las entidades.</w:t>
            </w:r>
            <w:r w:rsidRPr="009278EC">
              <w:rPr>
                <w:rFonts w:ascii="Arial" w:hAnsi="Arial" w:cs="Arial"/>
                <w:sz w:val="16"/>
                <w:szCs w:val="16"/>
              </w:rPr>
              <w:br/>
            </w:r>
            <w:r w:rsidRPr="009278EC">
              <w:rPr>
                <w:rFonts w:ascii="Arial" w:hAnsi="Arial" w:cs="Arial"/>
                <w:b/>
                <w:bCs/>
                <w:sz w:val="16"/>
                <w:szCs w:val="16"/>
              </w:rPr>
              <w:t>Plan de Acción Cuatrienal Ambiental-PACA:</w:t>
            </w:r>
            <w:r w:rsidRPr="009278EC">
              <w:rPr>
                <w:rFonts w:ascii="Arial" w:hAnsi="Arial" w:cs="Arial"/>
                <w:sz w:val="16"/>
                <w:szCs w:val="16"/>
              </w:rPr>
              <w:br/>
              <w:t xml:space="preserve">Consolidación-entrega de Informe de Seguimiento al PACA SDA, con corte a 31 de diciembre de 2014. (Avance y logros-2014). Cargado herramienta Storm User. Informe-Cuenta Anual de la Contraloría, reportando el formato CB 1111 - 4 y el documento electrónico basado en la información consolidada. Información reportada anteriormente en el formato CB 1111 - 2. Información que fue cargada en SIVICOF   por parte de la Oficina de Control Interno de la SDA. Certificado remitido por dicha dependencia. Acompañamiento a entidades que reportan PACA. Conocer actividades realizadas por el IDRD-marco PACA. Junto con la SPCI-actualización de indicadores de PACA SDA en Observatorio Ambiental de Bogotá. Participación en la mesa de instrumentos de PACA abordando temas como: Aprobación de informes reportados, segundo boletín PACA, coordinación visitas a otras entidades en el marco PACA. Acompañamiento a visita al Jardín Botánico el día 11 de junio, conociendo la experiencia de esta entidad relacionada con avances en las metas PACA, encontrando experiencias relacionadas como los SUDS implementados en la entidad, el manejo de los residuos orgánicos, la generación de energía eléctrica y todos los procesos de investigación y adecuación de infraestructura. Se avanzó en los ajustes a PACA SDA revisión realizada en conjunto con las </w:t>
            </w:r>
            <w:r w:rsidRPr="009278EC">
              <w:rPr>
                <w:rFonts w:ascii="Arial" w:hAnsi="Arial" w:cs="Arial"/>
                <w:sz w:val="16"/>
                <w:szCs w:val="16"/>
              </w:rPr>
              <w:lastRenderedPageBreak/>
              <w:t>Subdirecciones SPPA y SPCI. PACA SDA. Entrega de solicitud a la Contraloría en el marco de la Auditoria Regular de las metas. Por otra parte se entregaron los soportes correspondientes al plan de mejoramiento relacionados con las metas PACA SDA del proyecto 821.2-  En el tercer trimestre se ajustó la ficha de seguimiento para el instrumento, presentándose una propuesta concertada con la SPPA, la cual incluye  indicadores  enfocados a reportar el porcentaje de cumplimiento físico metas y/o acciones PACA Distrital y el porcentaje de presupuesto invertido en materia ambiental en el Distrito.  Adicionalmente, se elaboró propuesta preliminar de acompañamiento técnico al PACA Distrital desde la DGA; dirigida a las entidades que reportan PACA a la SPPA de la SDA. A nivel del PACA SDA, se consolido y reporto el informe de seguimiento al PACA con corte a Junio 30 de 2015.  Los indicadores anteriores aplican en las etapas de formulación, implementación, seguimiento, evaluación y ajustes que se efectúan al PACA desde la SPPA. Se realizaron aportes para la mesa de instrumentos de planeación realizada en octubre a las entidades donde se les solicitó la revisión en  cuanto al avance de las metas PACA  y los logros obtenidos durante el cuatrienio con las metas tarea solicitada a cada entidad. Se realizó revisión al informe reportado en junio para la publicación de PACA solicitado por SPPA y se remitió el informe de evaluación de PACA SDA. Se realizó seguimiento al Plan de Mejoramiento de PACA SDA acordado con Control Interno.</w:t>
            </w:r>
            <w:r w:rsidRPr="009278EC">
              <w:rPr>
                <w:rFonts w:ascii="Arial" w:hAnsi="Arial" w:cs="Arial"/>
                <w:sz w:val="16"/>
                <w:szCs w:val="16"/>
              </w:rPr>
              <w:br/>
            </w:r>
            <w:r w:rsidRPr="009278EC">
              <w:rPr>
                <w:rFonts w:ascii="Arial" w:hAnsi="Arial" w:cs="Arial"/>
                <w:b/>
                <w:bCs/>
                <w:sz w:val="16"/>
                <w:szCs w:val="16"/>
              </w:rPr>
              <w:t>Certificados del Estado de Conservación Ambiental-CECA:</w:t>
            </w:r>
            <w:r w:rsidRPr="009278EC">
              <w:rPr>
                <w:rFonts w:ascii="Arial" w:hAnsi="Arial" w:cs="Arial"/>
                <w:sz w:val="16"/>
                <w:szCs w:val="16"/>
              </w:rPr>
              <w:t xml:space="preserve"> </w:t>
            </w:r>
            <w:r w:rsidRPr="009278EC">
              <w:rPr>
                <w:rFonts w:ascii="Arial" w:hAnsi="Arial" w:cs="Arial"/>
                <w:sz w:val="16"/>
                <w:szCs w:val="16"/>
              </w:rPr>
              <w:br/>
              <w:t xml:space="preserve">Durante el 2015, se realizaron al menos 3 reuniones mensuales para acompañar la implementación del instrumento-convocadas desde la DGA. En el segundo trimestre, se socializó alerta para la continuidad de la implementación del instrumento durante el </w:t>
            </w:r>
            <w:r w:rsidRPr="009278EC">
              <w:rPr>
                <w:rFonts w:ascii="Arial" w:hAnsi="Arial" w:cs="Arial"/>
                <w:sz w:val="16"/>
                <w:szCs w:val="16"/>
              </w:rPr>
              <w:lastRenderedPageBreak/>
              <w:t xml:space="preserve">segundo semestre de 2015 y se realizó una reunión en la Subdirección de Ecosistemas y Ruralidad-SER, sobre el tema. Se realizaron 5 visitas de acompañamiento en campo a diferentes predios como: Reserva Thomas Van der Hammen y Colinas de Suba con la finalidad de obtener información sobre metodología de esta actividad. Temas revisados: Procedimiento, Back up Personal asignado proceso CECA. Desde la DGA se apoyaron durante el año, las actividades realizadas por el equipo de la SER en su parte administrativa. La SER elevó solicitud mediante memorando a la Subdirección Legal Ambiental para la revisión de la fecha de reporte CECA a Catastro distrital. En el mes de agosto, se sostuvo reunión con el profesional Silvio González (DPSIA) para el ajuste del formato versión Forest sobre los tiempos de respuesta. Esta nueva versión empezaría a funcionar a partir de septiembre con la versión No 4. Cobro del trámite: Se sostuvo reunión en el mes de agosto, con la Dirección Legal Ambiental-DLA quedando como compromiso, enviar durante el mes de septiembre de 2015, el sustento técnico para evaluar la posibilidad de no cobro y el tiempo de recepción de la solicitud. Desde la DGA, se continuó durante septiembre con las charlas divulgativas, en conjunto con la SER-grupo CECA en las localidades del sector rural, ciudad Bolívar y Usme, con el fin de que los posibles usuarios puedan acceder al beneficio tributario, con tarifas especiales en el impuesto predial de acuerdo al estado de conservación de su predio. En el mes de noviembre de 2015, se contrató a la Ing. Lilia García, por un periodo de 1 mes y 20 días, para realizar actividades de visitas técnicas a los predios que requieren la expedición de los CECA. Desde la DGA se hizo acompañamiento a los profesionales en las localidades de Chapinero, Santa fe y Usaquén durante visitas técnicas de campo.  </w:t>
            </w:r>
            <w:r w:rsidRPr="009278EC">
              <w:rPr>
                <w:rFonts w:ascii="Arial" w:hAnsi="Arial" w:cs="Arial"/>
                <w:sz w:val="16"/>
                <w:szCs w:val="16"/>
              </w:rPr>
              <w:lastRenderedPageBreak/>
              <w:t xml:space="preserve">Se realizó la actualización del procedimiento 126PM03-PR05 “Expedición del certificado de estado de conservación ambiental” y actualmente se encuentra pendiente pro expedición de resolución de aprobación. </w:t>
            </w:r>
            <w:r w:rsidRPr="009278EC">
              <w:rPr>
                <w:rFonts w:ascii="Arial" w:hAnsi="Arial" w:cs="Arial"/>
                <w:sz w:val="16"/>
                <w:szCs w:val="16"/>
              </w:rPr>
              <w:br/>
            </w:r>
            <w:r w:rsidRPr="009278EC">
              <w:rPr>
                <w:rFonts w:ascii="Arial" w:hAnsi="Arial" w:cs="Arial"/>
                <w:b/>
                <w:bCs/>
                <w:sz w:val="16"/>
                <w:szCs w:val="16"/>
              </w:rPr>
              <w:t>Otras Actividades:</w:t>
            </w:r>
            <w:r w:rsidRPr="009278EC">
              <w:rPr>
                <w:rFonts w:ascii="Arial" w:hAnsi="Arial" w:cs="Arial"/>
                <w:sz w:val="16"/>
                <w:szCs w:val="16"/>
              </w:rPr>
              <w:br/>
            </w:r>
            <w:r w:rsidRPr="009278EC">
              <w:rPr>
                <w:rFonts w:ascii="Arial" w:hAnsi="Arial" w:cs="Arial"/>
                <w:sz w:val="16"/>
                <w:szCs w:val="16"/>
                <w:u w:val="single"/>
              </w:rPr>
              <w:t>Eco conducción</w:t>
            </w:r>
            <w:r w:rsidRPr="009278EC">
              <w:rPr>
                <w:rFonts w:ascii="Arial" w:hAnsi="Arial" w:cs="Arial"/>
                <w:sz w:val="16"/>
                <w:szCs w:val="16"/>
              </w:rPr>
              <w:t xml:space="preserve">: Se alimentó la base de información del primer y segundo semestre 2014, con apoyo de la ingeniera Sandra Meneses. Se realizó una revisión al comportamiento de consumo combustible de las diferentes entidades. Se recibieron siete (7) solicitudes capacitaciones en eco conducción. Se realizó un (1) taller/conferencia sobre el tema durante el mes de julio. </w:t>
            </w:r>
            <w:r w:rsidRPr="009278EC">
              <w:rPr>
                <w:rFonts w:ascii="Arial" w:hAnsi="Arial" w:cs="Arial"/>
                <w:sz w:val="16"/>
                <w:szCs w:val="16"/>
              </w:rPr>
              <w:br/>
            </w:r>
            <w:r w:rsidRPr="009278EC">
              <w:rPr>
                <w:rFonts w:ascii="Arial" w:hAnsi="Arial" w:cs="Arial"/>
                <w:sz w:val="16"/>
                <w:szCs w:val="16"/>
                <w:u w:val="single"/>
              </w:rPr>
              <w:t>Política para el manejo del suelo de Protección del Distrito capital</w:t>
            </w:r>
            <w:r w:rsidRPr="009278EC">
              <w:rPr>
                <w:rFonts w:ascii="Arial" w:hAnsi="Arial" w:cs="Arial"/>
                <w:sz w:val="16"/>
                <w:szCs w:val="16"/>
              </w:rPr>
              <w:t>: Durante el segundo trimestre se realizó una reunión con el SIG Sistema de integrado de Gestión, para la revisión del procedimiento126PM03-PR22 de la Política para el Manejo de suelo de protección en el Distrito capital teniendo como referencia la   dependencia responsable del procedimiento.</w:t>
            </w:r>
            <w:r w:rsidRPr="009278EC">
              <w:rPr>
                <w:rFonts w:ascii="Arial" w:hAnsi="Arial" w:cs="Arial"/>
                <w:sz w:val="16"/>
                <w:szCs w:val="16"/>
              </w:rPr>
              <w:br/>
            </w:r>
            <w:r w:rsidRPr="009278EC">
              <w:rPr>
                <w:rFonts w:ascii="Arial" w:hAnsi="Arial" w:cs="Arial"/>
                <w:sz w:val="16"/>
                <w:szCs w:val="16"/>
                <w:u w:val="single"/>
              </w:rPr>
              <w:t>Política para la gestión de la Biodiversidad en el D.C</w:t>
            </w:r>
            <w:r w:rsidRPr="009278EC">
              <w:rPr>
                <w:rFonts w:ascii="Arial" w:hAnsi="Arial" w:cs="Arial"/>
                <w:sz w:val="16"/>
                <w:szCs w:val="16"/>
              </w:rPr>
              <w:t>: Se realizaron acciones de revisión del estado de esta política. Se terminó ajustar al instrumento conforme a lo que establece el decreto. Con base en esta información se procedió: a. Consolidar una matriz con todas las actividades establecidas en los planes de acción de los años 2012 al 2014. (Bogotá Humana) relacionadas con la política de biodiversidad, con la finalidad de poder establecer cuáles de esas acciones le apuntan a la política y b. Elaborar el memorando de citación reunión para presentar el instrumento de seguimiento a la política la cual se tiene contemplada llevar a cabo el día 3 de mayo de 2015.</w:t>
            </w:r>
            <w:r w:rsidRPr="009278EC">
              <w:rPr>
                <w:rFonts w:ascii="Arial" w:hAnsi="Arial" w:cs="Arial"/>
                <w:sz w:val="16"/>
                <w:szCs w:val="16"/>
              </w:rPr>
              <w:br/>
            </w:r>
            <w:r w:rsidRPr="009278EC">
              <w:rPr>
                <w:rFonts w:ascii="Arial" w:hAnsi="Arial" w:cs="Arial"/>
                <w:sz w:val="16"/>
                <w:szCs w:val="16"/>
                <w:u w:val="single"/>
              </w:rPr>
              <w:t>Otras acciones</w:t>
            </w:r>
            <w:r w:rsidRPr="009278EC">
              <w:rPr>
                <w:rFonts w:ascii="Arial" w:hAnsi="Arial" w:cs="Arial"/>
                <w:sz w:val="16"/>
                <w:szCs w:val="16"/>
              </w:rPr>
              <w:t xml:space="preserve">: Se inició el proceso de acompañamiento a la implementación del Acuerdo 510, por el cual se regula el periodo </w:t>
            </w:r>
            <w:r w:rsidRPr="009278EC">
              <w:rPr>
                <w:rFonts w:ascii="Arial" w:hAnsi="Arial" w:cs="Arial"/>
                <w:sz w:val="16"/>
                <w:szCs w:val="16"/>
              </w:rPr>
              <w:lastRenderedPageBreak/>
              <w:t>de tiempo y características de las luces públicas navideñas. Se realizaron gestiones de socialización del Acuerdo ante la Alcaldía Mayor, CODENSA y el Jardín Botánico.</w:t>
            </w:r>
          </w:p>
        </w:tc>
        <w:tc>
          <w:tcPr>
            <w:tcW w:w="1701" w:type="dxa"/>
            <w:vMerge/>
            <w:hideMark/>
          </w:tcPr>
          <w:p w:rsidR="009278EC" w:rsidRPr="009278EC" w:rsidRDefault="009278EC" w:rsidP="009278EC">
            <w:pPr>
              <w:jc w:val="both"/>
              <w:rPr>
                <w:rFonts w:ascii="Arial" w:hAnsi="Arial" w:cs="Arial"/>
                <w:sz w:val="16"/>
                <w:szCs w:val="16"/>
              </w:rPr>
            </w:pPr>
          </w:p>
        </w:tc>
        <w:tc>
          <w:tcPr>
            <w:tcW w:w="1559" w:type="dxa"/>
            <w:vMerge/>
            <w:hideMark/>
          </w:tcPr>
          <w:p w:rsidR="009278EC" w:rsidRPr="009278EC" w:rsidRDefault="009278EC" w:rsidP="009278EC">
            <w:pPr>
              <w:jc w:val="both"/>
              <w:rPr>
                <w:rFonts w:ascii="Arial" w:hAnsi="Arial" w:cs="Arial"/>
                <w:sz w:val="16"/>
                <w:szCs w:val="16"/>
              </w:rPr>
            </w:pPr>
          </w:p>
        </w:tc>
        <w:tc>
          <w:tcPr>
            <w:tcW w:w="1669" w:type="dxa"/>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1. 713/2015</w:t>
            </w:r>
            <w:r w:rsidRPr="009278EC">
              <w:rPr>
                <w:rFonts w:ascii="Arial" w:hAnsi="Arial" w:cs="Arial"/>
                <w:sz w:val="16"/>
                <w:szCs w:val="16"/>
              </w:rPr>
              <w:br/>
              <w:t>2. 316/2015</w:t>
            </w:r>
            <w:r w:rsidRPr="009278EC">
              <w:rPr>
                <w:rFonts w:ascii="Arial" w:hAnsi="Arial" w:cs="Arial"/>
                <w:sz w:val="16"/>
                <w:szCs w:val="16"/>
              </w:rPr>
              <w:br/>
              <w:t>3. 855/2015</w:t>
            </w:r>
            <w:r w:rsidRPr="009278EC">
              <w:rPr>
                <w:rFonts w:ascii="Arial" w:hAnsi="Arial" w:cs="Arial"/>
                <w:sz w:val="16"/>
                <w:szCs w:val="16"/>
              </w:rPr>
              <w:br/>
              <w:t>4. 724/2015</w:t>
            </w:r>
            <w:r w:rsidRPr="009278EC">
              <w:rPr>
                <w:rFonts w:ascii="Arial" w:hAnsi="Arial" w:cs="Arial"/>
                <w:sz w:val="16"/>
                <w:szCs w:val="16"/>
              </w:rPr>
              <w:br/>
              <w:t>5. 1356/2015</w:t>
            </w:r>
          </w:p>
        </w:tc>
        <w:tc>
          <w:tcPr>
            <w:tcW w:w="3480" w:type="dxa"/>
            <w:noWrap/>
            <w:hideMark/>
          </w:tcPr>
          <w:p w:rsidR="009278EC" w:rsidRPr="009278EC" w:rsidRDefault="009278EC" w:rsidP="009278EC">
            <w:pPr>
              <w:jc w:val="both"/>
              <w:rPr>
                <w:rFonts w:ascii="Arial" w:hAnsi="Arial" w:cs="Arial"/>
                <w:sz w:val="16"/>
                <w:szCs w:val="16"/>
              </w:rPr>
            </w:pPr>
            <w:r w:rsidRPr="009278EC">
              <w:rPr>
                <w:rFonts w:ascii="Arial" w:hAnsi="Arial" w:cs="Arial"/>
                <w:sz w:val="16"/>
                <w:szCs w:val="16"/>
              </w:rPr>
              <w:t>Esta actividad guarda relación con el objetivo "Conservación y Adecuado Manejo de la Fauna y la Flora" y con la estrategia "Manejo Físico y Ecourbanismo" dado que las acciones realizadas en coordinación con diferentes dependencias de la SDA para apoyar la formulación e implementación de instrumentos , se constituyen en un aporte para fortalecer la gestión ambiental con las entidades y las comunidades del Distrito, donde se han tenido en cuenta la necesidades y problemáticas, y que tienen como uno de los objetivos fundamentales conservar y manejar adecuadamente la Estructura Ecológica Principal-EEP.  El contrato 1069/2015 no corresponde  a una actividad específica 1019/2015 sin embargo aporta al cumplimiento de la meta “Administración y manejo institucional de 100 hectáreas de suelo de protección del Distrito”.</w:t>
            </w:r>
          </w:p>
        </w:tc>
      </w:tr>
    </w:tbl>
    <w:p w:rsidR="00417DC0" w:rsidRPr="00417DC0" w:rsidRDefault="00417DC0" w:rsidP="00417DC0">
      <w:pPr>
        <w:rPr>
          <w:rFonts w:ascii="Arial" w:hAnsi="Arial" w:cs="Arial"/>
        </w:rPr>
      </w:pPr>
    </w:p>
    <w:sectPr w:rsidR="00417DC0" w:rsidRPr="00417DC0" w:rsidSect="001E61AF">
      <w:headerReference w:type="default" r:id="rId9"/>
      <w:footerReference w:type="default" r:id="rId10"/>
      <w:pgSz w:w="20163" w:h="12242" w:orient="landscape" w:code="5"/>
      <w:pgMar w:top="1701" w:right="975" w:bottom="1701" w:left="1418" w:header="113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A79" w:rsidRDefault="00660A79" w:rsidP="00EA7B89">
      <w:pPr>
        <w:spacing w:after="0" w:line="240" w:lineRule="auto"/>
      </w:pPr>
      <w:r>
        <w:separator/>
      </w:r>
    </w:p>
  </w:endnote>
  <w:endnote w:type="continuationSeparator" w:id="0">
    <w:p w:rsidR="00660A79" w:rsidRDefault="00660A79" w:rsidP="00EA7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DC0" w:rsidRDefault="00417DC0" w:rsidP="00EA7B89">
    <w:pPr>
      <w:tabs>
        <w:tab w:val="left" w:pos="8364"/>
      </w:tabs>
      <w:ind w:left="-284" w:right="333"/>
    </w:pPr>
  </w:p>
  <w:p w:rsidR="00417DC0" w:rsidRDefault="00417DC0" w:rsidP="00933035">
    <w:pPr>
      <w:pStyle w:val="Piedepgina"/>
      <w:jc w:val="center"/>
    </w:pPr>
    <w:r w:rsidRPr="009C5FC8">
      <w:rPr>
        <w:rFonts w:ascii="Times New Roman" w:eastAsia="Times New Roman" w:hAnsi="Times New Roman" w:cs="Times New Roman"/>
        <w:noProof/>
        <w:sz w:val="24"/>
        <w:szCs w:val="24"/>
        <w:lang w:eastAsia="es-CO"/>
      </w:rPr>
      <w:drawing>
        <wp:inline distT="0" distB="0" distL="0" distR="0">
          <wp:extent cx="7162800" cy="878289"/>
          <wp:effectExtent l="0" t="0" r="0" b="0"/>
          <wp:docPr id="6" name="Imagen 6" descr="C:\Users\luz.palacios.SDA\Desktop\Sin títu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luz.palacios.SDA\Desktop\Sin título.png"/>
                  <pic:cNvPicPr>
                    <a:picLocks noChangeAspect="1" noChangeArrowheads="1"/>
                  </pic:cNvPicPr>
                </pic:nvPicPr>
                <pic:blipFill>
                  <a:blip r:embed="rId1">
                    <a:extLst>
                      <a:ext uri="{28A0092B-C50C-407E-A947-70E740481C1C}">
                        <a14:useLocalDpi xmlns:a14="http://schemas.microsoft.com/office/drawing/2010/main" val="0"/>
                      </a:ext>
                    </a:extLst>
                  </a:blip>
                  <a:srcRect b="28362"/>
                  <a:stretch>
                    <a:fillRect/>
                  </a:stretch>
                </pic:blipFill>
                <pic:spPr bwMode="auto">
                  <a:xfrm>
                    <a:off x="0" y="0"/>
                    <a:ext cx="7308861" cy="896199"/>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A79" w:rsidRDefault="00660A79" w:rsidP="00EA7B89">
      <w:pPr>
        <w:spacing w:after="0" w:line="240" w:lineRule="auto"/>
      </w:pPr>
      <w:r>
        <w:separator/>
      </w:r>
    </w:p>
  </w:footnote>
  <w:footnote w:type="continuationSeparator" w:id="0">
    <w:p w:rsidR="00660A79" w:rsidRDefault="00660A79" w:rsidP="00EA7B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DC0" w:rsidRDefault="00417DC0">
    <w:pPr>
      <w:pStyle w:val="Encabezado"/>
    </w:pPr>
    <w:r>
      <w:rPr>
        <w:noProof/>
        <w:lang w:eastAsia="es-CO"/>
      </w:rPr>
      <w:drawing>
        <wp:anchor distT="0" distB="0" distL="114300" distR="114300" simplePos="0" relativeHeight="251660288" behindDoc="0" locked="0" layoutInCell="1" allowOverlap="1" wp14:anchorId="527BB7AC" wp14:editId="6F423266">
          <wp:simplePos x="0" y="0"/>
          <wp:positionH relativeFrom="page">
            <wp:align>center</wp:align>
          </wp:positionH>
          <wp:positionV relativeFrom="topMargin">
            <wp:posOffset>217690</wp:posOffset>
          </wp:positionV>
          <wp:extent cx="1078865" cy="718820"/>
          <wp:effectExtent l="0" t="0" r="6985" b="5080"/>
          <wp:wrapThrough wrapText="bothSides">
            <wp:wrapPolygon edited="0">
              <wp:start x="0" y="0"/>
              <wp:lineTo x="0" y="21180"/>
              <wp:lineTo x="21358" y="21180"/>
              <wp:lineTo x="21358" y="0"/>
              <wp:lineTo x="0" y="0"/>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8865" cy="71882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C40D2"/>
    <w:multiLevelType w:val="hybridMultilevel"/>
    <w:tmpl w:val="12C805BC"/>
    <w:lvl w:ilvl="0" w:tplc="7CB8469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B4A1D96"/>
    <w:multiLevelType w:val="hybridMultilevel"/>
    <w:tmpl w:val="BB5E96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9796D7D"/>
    <w:multiLevelType w:val="hybridMultilevel"/>
    <w:tmpl w:val="BB5E96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556C4E1F"/>
    <w:multiLevelType w:val="hybridMultilevel"/>
    <w:tmpl w:val="BB5E96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6EBF5E34"/>
    <w:multiLevelType w:val="hybridMultilevel"/>
    <w:tmpl w:val="5D7238D0"/>
    <w:lvl w:ilvl="0" w:tplc="5A0CD3A0">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89"/>
    <w:rsid w:val="00001760"/>
    <w:rsid w:val="00053505"/>
    <w:rsid w:val="0007613D"/>
    <w:rsid w:val="00081136"/>
    <w:rsid w:val="000819FE"/>
    <w:rsid w:val="000B34CE"/>
    <w:rsid w:val="000B7969"/>
    <w:rsid w:val="000D1B19"/>
    <w:rsid w:val="000D31B3"/>
    <w:rsid w:val="001301A4"/>
    <w:rsid w:val="00190A16"/>
    <w:rsid w:val="001C6580"/>
    <w:rsid w:val="001E61AF"/>
    <w:rsid w:val="00205F07"/>
    <w:rsid w:val="00250A15"/>
    <w:rsid w:val="002573A3"/>
    <w:rsid w:val="002633EF"/>
    <w:rsid w:val="0026628F"/>
    <w:rsid w:val="00285F5F"/>
    <w:rsid w:val="002E386D"/>
    <w:rsid w:val="00335235"/>
    <w:rsid w:val="00352A7F"/>
    <w:rsid w:val="003915C9"/>
    <w:rsid w:val="003A50EF"/>
    <w:rsid w:val="00417DC0"/>
    <w:rsid w:val="00480D06"/>
    <w:rsid w:val="004C39CF"/>
    <w:rsid w:val="004D4380"/>
    <w:rsid w:val="00533BE2"/>
    <w:rsid w:val="00541C82"/>
    <w:rsid w:val="00550E57"/>
    <w:rsid w:val="005E1687"/>
    <w:rsid w:val="006107D7"/>
    <w:rsid w:val="00660A79"/>
    <w:rsid w:val="006A655F"/>
    <w:rsid w:val="006B683C"/>
    <w:rsid w:val="007072DA"/>
    <w:rsid w:val="007562F0"/>
    <w:rsid w:val="00756B23"/>
    <w:rsid w:val="0079347E"/>
    <w:rsid w:val="007C760F"/>
    <w:rsid w:val="0082562E"/>
    <w:rsid w:val="008D723A"/>
    <w:rsid w:val="009278EC"/>
    <w:rsid w:val="00933035"/>
    <w:rsid w:val="00AA0A92"/>
    <w:rsid w:val="00B13343"/>
    <w:rsid w:val="00B40EC8"/>
    <w:rsid w:val="00B54C25"/>
    <w:rsid w:val="00B7427E"/>
    <w:rsid w:val="00BA190B"/>
    <w:rsid w:val="00BA2E71"/>
    <w:rsid w:val="00C017C9"/>
    <w:rsid w:val="00C04635"/>
    <w:rsid w:val="00C2005D"/>
    <w:rsid w:val="00C268F3"/>
    <w:rsid w:val="00C72DD8"/>
    <w:rsid w:val="00CD6FF7"/>
    <w:rsid w:val="00CF5C9C"/>
    <w:rsid w:val="00D762A5"/>
    <w:rsid w:val="00DD3C17"/>
    <w:rsid w:val="00E23392"/>
    <w:rsid w:val="00E64D30"/>
    <w:rsid w:val="00E81E02"/>
    <w:rsid w:val="00EA7B89"/>
    <w:rsid w:val="00EB48AA"/>
    <w:rsid w:val="00F25989"/>
    <w:rsid w:val="00F26373"/>
    <w:rsid w:val="00F73EEB"/>
    <w:rsid w:val="00FA6DCC"/>
    <w:rsid w:val="00FF6B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E265EC-8C14-45BE-8E99-7C994AB1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A7B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A7B89"/>
  </w:style>
  <w:style w:type="paragraph" w:styleId="Piedepgina">
    <w:name w:val="footer"/>
    <w:basedOn w:val="Normal"/>
    <w:link w:val="PiedepginaCar"/>
    <w:uiPriority w:val="99"/>
    <w:unhideWhenUsed/>
    <w:rsid w:val="00EA7B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A7B89"/>
  </w:style>
  <w:style w:type="character" w:styleId="Hipervnculo">
    <w:name w:val="Hyperlink"/>
    <w:basedOn w:val="Fuentedeprrafopredeter"/>
    <w:uiPriority w:val="99"/>
    <w:unhideWhenUsed/>
    <w:rsid w:val="00EA7B89"/>
    <w:rPr>
      <w:color w:val="0563C1" w:themeColor="hyperlink"/>
      <w:u w:val="single"/>
    </w:rPr>
  </w:style>
  <w:style w:type="paragraph" w:styleId="Textodeglobo">
    <w:name w:val="Balloon Text"/>
    <w:basedOn w:val="Normal"/>
    <w:link w:val="TextodegloboCar"/>
    <w:uiPriority w:val="99"/>
    <w:semiHidden/>
    <w:unhideWhenUsed/>
    <w:rsid w:val="00EA7B8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B89"/>
    <w:rPr>
      <w:rFonts w:ascii="Segoe UI" w:hAnsi="Segoe UI" w:cs="Segoe UI"/>
      <w:sz w:val="18"/>
      <w:szCs w:val="18"/>
    </w:rPr>
  </w:style>
  <w:style w:type="paragraph" w:styleId="Sinespaciado">
    <w:name w:val="No Spacing"/>
    <w:link w:val="SinespaciadoCar"/>
    <w:uiPriority w:val="1"/>
    <w:qFormat/>
    <w:rsid w:val="00541C82"/>
    <w:pPr>
      <w:spacing w:after="0" w:line="240" w:lineRule="auto"/>
    </w:pPr>
  </w:style>
  <w:style w:type="character" w:customStyle="1" w:styleId="SinespaciadoCar">
    <w:name w:val="Sin espaciado Car"/>
    <w:basedOn w:val="Fuentedeprrafopredeter"/>
    <w:link w:val="Sinespaciado"/>
    <w:uiPriority w:val="1"/>
    <w:rsid w:val="00541C82"/>
  </w:style>
  <w:style w:type="character" w:styleId="Textoennegrita">
    <w:name w:val="Strong"/>
    <w:basedOn w:val="Fuentedeprrafopredeter"/>
    <w:uiPriority w:val="22"/>
    <w:qFormat/>
    <w:rsid w:val="00541C82"/>
    <w:rPr>
      <w:b/>
      <w:bCs/>
    </w:rPr>
  </w:style>
  <w:style w:type="table" w:styleId="Tablaconcuadrcula">
    <w:name w:val="Table Grid"/>
    <w:basedOn w:val="Tablanormal"/>
    <w:uiPriority w:val="39"/>
    <w:rsid w:val="00F73E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B3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4064">
      <w:bodyDiv w:val="1"/>
      <w:marLeft w:val="0"/>
      <w:marRight w:val="0"/>
      <w:marTop w:val="0"/>
      <w:marBottom w:val="0"/>
      <w:divBdr>
        <w:top w:val="none" w:sz="0" w:space="0" w:color="auto"/>
        <w:left w:val="none" w:sz="0" w:space="0" w:color="auto"/>
        <w:bottom w:val="none" w:sz="0" w:space="0" w:color="auto"/>
        <w:right w:val="none" w:sz="0" w:space="0" w:color="auto"/>
      </w:divBdr>
    </w:div>
    <w:div w:id="101074933">
      <w:bodyDiv w:val="1"/>
      <w:marLeft w:val="0"/>
      <w:marRight w:val="0"/>
      <w:marTop w:val="0"/>
      <w:marBottom w:val="0"/>
      <w:divBdr>
        <w:top w:val="none" w:sz="0" w:space="0" w:color="auto"/>
        <w:left w:val="none" w:sz="0" w:space="0" w:color="auto"/>
        <w:bottom w:val="none" w:sz="0" w:space="0" w:color="auto"/>
        <w:right w:val="none" w:sz="0" w:space="0" w:color="auto"/>
      </w:divBdr>
    </w:div>
    <w:div w:id="265113596">
      <w:bodyDiv w:val="1"/>
      <w:marLeft w:val="0"/>
      <w:marRight w:val="0"/>
      <w:marTop w:val="0"/>
      <w:marBottom w:val="0"/>
      <w:divBdr>
        <w:top w:val="none" w:sz="0" w:space="0" w:color="auto"/>
        <w:left w:val="none" w:sz="0" w:space="0" w:color="auto"/>
        <w:bottom w:val="none" w:sz="0" w:space="0" w:color="auto"/>
        <w:right w:val="none" w:sz="0" w:space="0" w:color="auto"/>
      </w:divBdr>
    </w:div>
    <w:div w:id="478691779">
      <w:bodyDiv w:val="1"/>
      <w:marLeft w:val="0"/>
      <w:marRight w:val="0"/>
      <w:marTop w:val="0"/>
      <w:marBottom w:val="0"/>
      <w:divBdr>
        <w:top w:val="none" w:sz="0" w:space="0" w:color="auto"/>
        <w:left w:val="none" w:sz="0" w:space="0" w:color="auto"/>
        <w:bottom w:val="none" w:sz="0" w:space="0" w:color="auto"/>
        <w:right w:val="none" w:sz="0" w:space="0" w:color="auto"/>
      </w:divBdr>
    </w:div>
    <w:div w:id="584607595">
      <w:bodyDiv w:val="1"/>
      <w:marLeft w:val="0"/>
      <w:marRight w:val="0"/>
      <w:marTop w:val="0"/>
      <w:marBottom w:val="0"/>
      <w:divBdr>
        <w:top w:val="none" w:sz="0" w:space="0" w:color="auto"/>
        <w:left w:val="none" w:sz="0" w:space="0" w:color="auto"/>
        <w:bottom w:val="none" w:sz="0" w:space="0" w:color="auto"/>
        <w:right w:val="none" w:sz="0" w:space="0" w:color="auto"/>
      </w:divBdr>
    </w:div>
    <w:div w:id="607470103">
      <w:bodyDiv w:val="1"/>
      <w:marLeft w:val="0"/>
      <w:marRight w:val="0"/>
      <w:marTop w:val="0"/>
      <w:marBottom w:val="0"/>
      <w:divBdr>
        <w:top w:val="none" w:sz="0" w:space="0" w:color="auto"/>
        <w:left w:val="none" w:sz="0" w:space="0" w:color="auto"/>
        <w:bottom w:val="none" w:sz="0" w:space="0" w:color="auto"/>
        <w:right w:val="none" w:sz="0" w:space="0" w:color="auto"/>
      </w:divBdr>
    </w:div>
    <w:div w:id="778329097">
      <w:bodyDiv w:val="1"/>
      <w:marLeft w:val="0"/>
      <w:marRight w:val="0"/>
      <w:marTop w:val="0"/>
      <w:marBottom w:val="0"/>
      <w:divBdr>
        <w:top w:val="none" w:sz="0" w:space="0" w:color="auto"/>
        <w:left w:val="none" w:sz="0" w:space="0" w:color="auto"/>
        <w:bottom w:val="none" w:sz="0" w:space="0" w:color="auto"/>
        <w:right w:val="none" w:sz="0" w:space="0" w:color="auto"/>
      </w:divBdr>
    </w:div>
    <w:div w:id="875770808">
      <w:bodyDiv w:val="1"/>
      <w:marLeft w:val="0"/>
      <w:marRight w:val="0"/>
      <w:marTop w:val="0"/>
      <w:marBottom w:val="0"/>
      <w:divBdr>
        <w:top w:val="none" w:sz="0" w:space="0" w:color="auto"/>
        <w:left w:val="none" w:sz="0" w:space="0" w:color="auto"/>
        <w:bottom w:val="none" w:sz="0" w:space="0" w:color="auto"/>
        <w:right w:val="none" w:sz="0" w:space="0" w:color="auto"/>
      </w:divBdr>
    </w:div>
    <w:div w:id="1113591797">
      <w:bodyDiv w:val="1"/>
      <w:marLeft w:val="0"/>
      <w:marRight w:val="0"/>
      <w:marTop w:val="0"/>
      <w:marBottom w:val="0"/>
      <w:divBdr>
        <w:top w:val="none" w:sz="0" w:space="0" w:color="auto"/>
        <w:left w:val="none" w:sz="0" w:space="0" w:color="auto"/>
        <w:bottom w:val="none" w:sz="0" w:space="0" w:color="auto"/>
        <w:right w:val="none" w:sz="0" w:space="0" w:color="auto"/>
      </w:divBdr>
    </w:div>
    <w:div w:id="1148322429">
      <w:bodyDiv w:val="1"/>
      <w:marLeft w:val="0"/>
      <w:marRight w:val="0"/>
      <w:marTop w:val="0"/>
      <w:marBottom w:val="0"/>
      <w:divBdr>
        <w:top w:val="none" w:sz="0" w:space="0" w:color="auto"/>
        <w:left w:val="none" w:sz="0" w:space="0" w:color="auto"/>
        <w:bottom w:val="none" w:sz="0" w:space="0" w:color="auto"/>
        <w:right w:val="none" w:sz="0" w:space="0" w:color="auto"/>
      </w:divBdr>
    </w:div>
    <w:div w:id="1206718401">
      <w:bodyDiv w:val="1"/>
      <w:marLeft w:val="0"/>
      <w:marRight w:val="0"/>
      <w:marTop w:val="0"/>
      <w:marBottom w:val="0"/>
      <w:divBdr>
        <w:top w:val="none" w:sz="0" w:space="0" w:color="auto"/>
        <w:left w:val="none" w:sz="0" w:space="0" w:color="auto"/>
        <w:bottom w:val="none" w:sz="0" w:space="0" w:color="auto"/>
        <w:right w:val="none" w:sz="0" w:space="0" w:color="auto"/>
      </w:divBdr>
    </w:div>
    <w:div w:id="1238132058">
      <w:bodyDiv w:val="1"/>
      <w:marLeft w:val="0"/>
      <w:marRight w:val="0"/>
      <w:marTop w:val="0"/>
      <w:marBottom w:val="0"/>
      <w:divBdr>
        <w:top w:val="none" w:sz="0" w:space="0" w:color="auto"/>
        <w:left w:val="none" w:sz="0" w:space="0" w:color="auto"/>
        <w:bottom w:val="none" w:sz="0" w:space="0" w:color="auto"/>
        <w:right w:val="none" w:sz="0" w:space="0" w:color="auto"/>
      </w:divBdr>
    </w:div>
    <w:div w:id="1416129107">
      <w:bodyDiv w:val="1"/>
      <w:marLeft w:val="0"/>
      <w:marRight w:val="0"/>
      <w:marTop w:val="0"/>
      <w:marBottom w:val="0"/>
      <w:divBdr>
        <w:top w:val="none" w:sz="0" w:space="0" w:color="auto"/>
        <w:left w:val="none" w:sz="0" w:space="0" w:color="auto"/>
        <w:bottom w:val="none" w:sz="0" w:space="0" w:color="auto"/>
        <w:right w:val="none" w:sz="0" w:space="0" w:color="auto"/>
      </w:divBdr>
    </w:div>
    <w:div w:id="1703940914">
      <w:bodyDiv w:val="1"/>
      <w:marLeft w:val="0"/>
      <w:marRight w:val="0"/>
      <w:marTop w:val="0"/>
      <w:marBottom w:val="0"/>
      <w:divBdr>
        <w:top w:val="none" w:sz="0" w:space="0" w:color="auto"/>
        <w:left w:val="none" w:sz="0" w:space="0" w:color="auto"/>
        <w:bottom w:val="none" w:sz="0" w:space="0" w:color="auto"/>
        <w:right w:val="none" w:sz="0" w:space="0" w:color="auto"/>
      </w:divBdr>
    </w:div>
    <w:div w:id="1786195893">
      <w:bodyDiv w:val="1"/>
      <w:marLeft w:val="0"/>
      <w:marRight w:val="0"/>
      <w:marTop w:val="0"/>
      <w:marBottom w:val="0"/>
      <w:divBdr>
        <w:top w:val="none" w:sz="0" w:space="0" w:color="auto"/>
        <w:left w:val="none" w:sz="0" w:space="0" w:color="auto"/>
        <w:bottom w:val="none" w:sz="0" w:space="0" w:color="auto"/>
        <w:right w:val="none" w:sz="0" w:space="0" w:color="auto"/>
      </w:divBdr>
    </w:div>
    <w:div w:id="1833641205">
      <w:bodyDiv w:val="1"/>
      <w:marLeft w:val="0"/>
      <w:marRight w:val="0"/>
      <w:marTop w:val="0"/>
      <w:marBottom w:val="0"/>
      <w:divBdr>
        <w:top w:val="none" w:sz="0" w:space="0" w:color="auto"/>
        <w:left w:val="none" w:sz="0" w:space="0" w:color="auto"/>
        <w:bottom w:val="none" w:sz="0" w:space="0" w:color="auto"/>
        <w:right w:val="none" w:sz="0" w:space="0" w:color="auto"/>
      </w:divBdr>
    </w:div>
    <w:div w:id="1931237817">
      <w:bodyDiv w:val="1"/>
      <w:marLeft w:val="0"/>
      <w:marRight w:val="0"/>
      <w:marTop w:val="0"/>
      <w:marBottom w:val="0"/>
      <w:divBdr>
        <w:top w:val="none" w:sz="0" w:space="0" w:color="auto"/>
        <w:left w:val="none" w:sz="0" w:space="0" w:color="auto"/>
        <w:bottom w:val="none" w:sz="0" w:space="0" w:color="auto"/>
        <w:right w:val="none" w:sz="0" w:space="0" w:color="auto"/>
      </w:divBdr>
    </w:div>
    <w:div w:id="1996832644">
      <w:bodyDiv w:val="1"/>
      <w:marLeft w:val="0"/>
      <w:marRight w:val="0"/>
      <w:marTop w:val="0"/>
      <w:marBottom w:val="0"/>
      <w:divBdr>
        <w:top w:val="none" w:sz="0" w:space="0" w:color="auto"/>
        <w:left w:val="none" w:sz="0" w:space="0" w:color="auto"/>
        <w:bottom w:val="none" w:sz="0" w:space="0" w:color="auto"/>
        <w:right w:val="none" w:sz="0" w:space="0" w:color="auto"/>
      </w:divBdr>
    </w:div>
    <w:div w:id="21467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8EF78-9B5F-42EB-9839-E0D28F7B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720</Pages>
  <Words>164721</Words>
  <Characters>905966</Characters>
  <Application>Microsoft Office Word</Application>
  <DocSecurity>0</DocSecurity>
  <Lines>7549</Lines>
  <Paragraphs>2137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YENNY.GUTIERREZ</dc:creator>
  <cp:keywords/>
  <dc:description/>
  <cp:lastModifiedBy>JORGE.LEZAMA</cp:lastModifiedBy>
  <cp:revision>24</cp:revision>
  <cp:lastPrinted>2016-01-12T16:47:00Z</cp:lastPrinted>
  <dcterms:created xsi:type="dcterms:W3CDTF">2016-02-19T02:58:00Z</dcterms:created>
  <dcterms:modified xsi:type="dcterms:W3CDTF">2016-02-19T15:21:00Z</dcterms:modified>
</cp:coreProperties>
</file>